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2F" w:rsidRPr="00B64A66" w:rsidRDefault="0024612F" w:rsidP="00B64A66">
      <w:pPr>
        <w:adjustRightInd w:val="0"/>
        <w:snapToGrid w:val="0"/>
        <w:spacing w:line="360" w:lineRule="auto"/>
        <w:ind w:firstLineChars="200" w:firstLine="643"/>
        <w:jc w:val="center"/>
        <w:rPr>
          <w:rFonts w:ascii="黑体" w:eastAsia="黑体" w:hAnsi="黑体" w:hint="eastAsia"/>
          <w:b/>
          <w:noProof/>
          <w:sz w:val="32"/>
          <w:szCs w:val="32"/>
        </w:rPr>
      </w:pPr>
      <w:bookmarkStart w:id="0" w:name="_GoBack"/>
      <w:bookmarkEnd w:id="0"/>
    </w:p>
    <w:p w:rsidR="005D3CD0" w:rsidRPr="00B64A66" w:rsidRDefault="005D3CD0" w:rsidP="00B64A66">
      <w:pPr>
        <w:adjustRightInd w:val="0"/>
        <w:snapToGrid w:val="0"/>
        <w:spacing w:line="360" w:lineRule="auto"/>
        <w:ind w:firstLineChars="200" w:firstLine="643"/>
        <w:jc w:val="center"/>
        <w:rPr>
          <w:rFonts w:ascii="黑体" w:eastAsia="黑体" w:hAnsi="黑体"/>
          <w:b/>
          <w:noProof/>
          <w:sz w:val="32"/>
          <w:szCs w:val="32"/>
        </w:rPr>
      </w:pPr>
      <w:r w:rsidRPr="00B64A66">
        <w:rPr>
          <w:rFonts w:ascii="黑体" w:eastAsia="黑体" w:hAnsi="黑体" w:hint="eastAsia"/>
          <w:b/>
          <w:noProof/>
          <w:sz w:val="32"/>
          <w:szCs w:val="32"/>
        </w:rPr>
        <w:t>东海瑞京资产管理（上海）有限公司</w:t>
      </w:r>
    </w:p>
    <w:p w:rsidR="005D3CD0" w:rsidRPr="00B64A66" w:rsidRDefault="005D3CD0" w:rsidP="00B64A66">
      <w:pPr>
        <w:adjustRightInd w:val="0"/>
        <w:snapToGrid w:val="0"/>
        <w:spacing w:line="360" w:lineRule="auto"/>
        <w:ind w:firstLineChars="200" w:firstLine="643"/>
        <w:jc w:val="center"/>
        <w:rPr>
          <w:rFonts w:ascii="黑体" w:eastAsia="黑体" w:hAnsi="黑体"/>
          <w:b/>
          <w:noProof/>
          <w:sz w:val="32"/>
          <w:szCs w:val="32"/>
        </w:rPr>
      </w:pPr>
      <w:r w:rsidRPr="00B64A66">
        <w:rPr>
          <w:rFonts w:ascii="黑体" w:eastAsia="黑体" w:hAnsi="黑体" w:hint="eastAsia"/>
          <w:b/>
          <w:noProof/>
          <w:sz w:val="32"/>
          <w:szCs w:val="32"/>
        </w:rPr>
        <w:t>产品风险等级评估办法</w:t>
      </w:r>
    </w:p>
    <w:p w:rsidR="005D3CD0" w:rsidRPr="00B64A66" w:rsidRDefault="005D3CD0" w:rsidP="00B64A66">
      <w:pPr>
        <w:adjustRightInd w:val="0"/>
        <w:snapToGrid w:val="0"/>
        <w:spacing w:line="360" w:lineRule="auto"/>
        <w:ind w:left="630" w:firstLineChars="200" w:firstLine="560"/>
        <w:jc w:val="center"/>
        <w:rPr>
          <w:rFonts w:ascii="仿宋_GB2312" w:eastAsia="仿宋_GB2312"/>
          <w:noProof/>
          <w:sz w:val="28"/>
          <w:szCs w:val="28"/>
        </w:rPr>
      </w:pP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为加强公司投资者适当性管理工作，维护投资者权益，规范公司投资者适当性管理工作的操作流程，根据</w:t>
      </w:r>
      <w:r w:rsidR="00907180" w:rsidRPr="00907180">
        <w:rPr>
          <w:rFonts w:ascii="仿宋_GB2312" w:eastAsia="仿宋_GB2312" w:hint="eastAsia"/>
          <w:noProof/>
          <w:sz w:val="28"/>
          <w:szCs w:val="28"/>
        </w:rPr>
        <w:t>《证券期货经营机构私募资产管理业务管理办法》、《证券期货经营机构私募资产管理计划运作管理规定》</w:t>
      </w:r>
      <w:r w:rsidR="00907180">
        <w:rPr>
          <w:rFonts w:ascii="仿宋_GB2312" w:eastAsia="仿宋_GB2312" w:hint="eastAsia"/>
          <w:noProof/>
          <w:sz w:val="28"/>
          <w:szCs w:val="28"/>
        </w:rPr>
        <w:t>、</w:t>
      </w:r>
      <w:r w:rsidRPr="00B64A66">
        <w:rPr>
          <w:rFonts w:ascii="仿宋_GB2312" w:eastAsia="仿宋_GB2312" w:hint="eastAsia"/>
          <w:noProof/>
          <w:sz w:val="28"/>
          <w:szCs w:val="28"/>
        </w:rPr>
        <w:t>《证券期货投资者适当性管理办法》、《东海瑞京资产管理（上海）有限公司投资者适当性管理办法》等规定制订本办法。</w:t>
      </w:r>
    </w:p>
    <w:p w:rsidR="005D3CD0" w:rsidRPr="00B64A66" w:rsidRDefault="005D3CD0" w:rsidP="00B64A66">
      <w:pPr>
        <w:pStyle w:val="a5"/>
        <w:adjustRightInd w:val="0"/>
        <w:snapToGrid w:val="0"/>
        <w:spacing w:line="360" w:lineRule="auto"/>
        <w:ind w:leftChars="0" w:left="0" w:firstLine="562"/>
        <w:rPr>
          <w:rFonts w:ascii="仿宋_GB2312" w:eastAsia="仿宋_GB2312"/>
          <w:b/>
          <w:noProof/>
          <w:sz w:val="28"/>
          <w:szCs w:val="28"/>
        </w:rPr>
      </w:pPr>
      <w:r w:rsidRPr="00B64A66">
        <w:rPr>
          <w:rFonts w:ascii="仿宋_GB2312" w:eastAsia="仿宋_GB2312" w:hint="eastAsia"/>
          <w:b/>
          <w:noProof/>
          <w:sz w:val="28"/>
          <w:szCs w:val="28"/>
        </w:rPr>
        <w:t>第一条 产品划分</w:t>
      </w:r>
    </w:p>
    <w:p w:rsidR="005D3CD0" w:rsidRPr="00B64A66" w:rsidRDefault="005D3CD0" w:rsidP="00B64A66">
      <w:pPr>
        <w:pStyle w:val="a5"/>
        <w:adjustRightInd w:val="0"/>
        <w:snapToGrid w:val="0"/>
        <w:spacing w:line="360" w:lineRule="auto"/>
        <w:ind w:leftChars="0" w:left="0" w:firstLine="560"/>
        <w:rPr>
          <w:rFonts w:ascii="仿宋_GB2312" w:eastAsia="仿宋_GB2312"/>
          <w:noProof/>
          <w:sz w:val="28"/>
          <w:szCs w:val="28"/>
        </w:rPr>
      </w:pPr>
      <w:r w:rsidRPr="00B64A66">
        <w:rPr>
          <w:rFonts w:ascii="仿宋_GB2312" w:eastAsia="仿宋_GB2312" w:hint="eastAsia"/>
          <w:noProof/>
          <w:sz w:val="28"/>
          <w:szCs w:val="28"/>
        </w:rPr>
        <w:t>公司应根据销售产品风险特征和程度，将销售产品划分为标准化产品和非标准化产品两个类别，并根据不同类别产品的风险特征和程度划分风险等级。</w:t>
      </w:r>
    </w:p>
    <w:p w:rsidR="00400373" w:rsidRDefault="005D3CD0" w:rsidP="00B64A66">
      <w:pPr>
        <w:pStyle w:val="a5"/>
        <w:adjustRightInd w:val="0"/>
        <w:snapToGrid w:val="0"/>
        <w:spacing w:line="360" w:lineRule="auto"/>
        <w:ind w:leftChars="0" w:left="0" w:firstLine="560"/>
        <w:rPr>
          <w:rFonts w:ascii="仿宋_GB2312" w:eastAsia="仿宋_GB2312"/>
          <w:noProof/>
          <w:sz w:val="28"/>
          <w:szCs w:val="28"/>
        </w:rPr>
      </w:pPr>
      <w:r w:rsidRPr="00B64A66">
        <w:rPr>
          <w:rFonts w:ascii="仿宋_GB2312" w:eastAsia="仿宋_GB2312" w:hint="eastAsia"/>
          <w:noProof/>
          <w:sz w:val="28"/>
          <w:szCs w:val="28"/>
        </w:rPr>
        <w:t>其中标准化产品</w:t>
      </w:r>
      <w:r w:rsidR="00400373">
        <w:rPr>
          <w:rFonts w:ascii="仿宋_GB2312" w:eastAsia="仿宋_GB2312" w:hint="eastAsia"/>
          <w:noProof/>
          <w:sz w:val="28"/>
          <w:szCs w:val="28"/>
        </w:rPr>
        <w:t>可分为四类，分别如下所示：</w:t>
      </w:r>
    </w:p>
    <w:p w:rsidR="00400373" w:rsidRPr="00400373" w:rsidRDefault="00400373" w:rsidP="00951B23">
      <w:pPr>
        <w:pStyle w:val="a5"/>
        <w:adjustRightInd w:val="0"/>
        <w:snapToGrid w:val="0"/>
        <w:spacing w:line="360" w:lineRule="auto"/>
        <w:ind w:leftChars="0" w:left="0" w:firstLine="560"/>
        <w:rPr>
          <w:rFonts w:ascii="仿宋_GB2312" w:eastAsia="仿宋_GB2312"/>
          <w:noProof/>
          <w:sz w:val="28"/>
          <w:szCs w:val="28"/>
        </w:rPr>
      </w:pPr>
      <w:r w:rsidRPr="00400373">
        <w:rPr>
          <w:rFonts w:ascii="仿宋_GB2312" w:eastAsia="仿宋_GB2312" w:hint="eastAsia"/>
          <w:noProof/>
          <w:sz w:val="28"/>
          <w:szCs w:val="28"/>
        </w:rPr>
        <w:t>（一）银行存款、同业存单，以及符合《关于规范金融机构资产管理业务的指导意见》</w:t>
      </w:r>
      <w:r>
        <w:rPr>
          <w:rFonts w:ascii="仿宋_GB2312" w:eastAsia="仿宋_GB2312" w:hint="eastAsia"/>
          <w:noProof/>
          <w:sz w:val="28"/>
          <w:szCs w:val="28"/>
        </w:rPr>
        <w:t>（</w:t>
      </w:r>
      <w:r w:rsidRPr="00400373">
        <w:rPr>
          <w:rFonts w:ascii="仿宋_GB2312" w:eastAsia="仿宋_GB2312" w:hint="eastAsia"/>
          <w:noProof/>
          <w:sz w:val="28"/>
          <w:szCs w:val="28"/>
        </w:rPr>
        <w:t>银发〔2018〕106 号</w:t>
      </w:r>
      <w:r>
        <w:rPr>
          <w:rFonts w:ascii="仿宋_GB2312" w:eastAsia="仿宋_GB2312" w:hint="eastAsia"/>
          <w:noProof/>
          <w:sz w:val="28"/>
          <w:szCs w:val="28"/>
        </w:rPr>
        <w:t>）</w:t>
      </w:r>
      <w:r w:rsidRPr="00400373">
        <w:rPr>
          <w:rFonts w:ascii="仿宋_GB2312" w:eastAsia="仿宋_GB2312" w:hint="eastAsia"/>
          <w:noProof/>
          <w:sz w:val="28"/>
          <w:szCs w:val="28"/>
        </w:rPr>
        <w:t>规定的标准化债权类资产，包括但不限于在证券交易所、银行间市场等国务院同意设立的交易场所交易的可以划分为均等份额、具有合理公允价值和完善流动性机制的债券、中央银行票据、资产支持证券、非金融企业债务融资工具等；</w:t>
      </w:r>
    </w:p>
    <w:p w:rsidR="00400373" w:rsidRDefault="00400373" w:rsidP="00951B23">
      <w:pPr>
        <w:pStyle w:val="a5"/>
        <w:adjustRightInd w:val="0"/>
        <w:snapToGrid w:val="0"/>
        <w:spacing w:line="360" w:lineRule="auto"/>
        <w:ind w:leftChars="0" w:left="0" w:firstLine="560"/>
        <w:rPr>
          <w:rFonts w:ascii="仿宋_GB2312" w:eastAsia="仿宋_GB2312"/>
          <w:noProof/>
          <w:sz w:val="28"/>
          <w:szCs w:val="28"/>
        </w:rPr>
      </w:pPr>
      <w:r w:rsidRPr="00400373">
        <w:rPr>
          <w:rFonts w:ascii="仿宋_GB2312" w:eastAsia="仿宋_GB2312" w:hint="eastAsia"/>
          <w:noProof/>
          <w:sz w:val="28"/>
          <w:szCs w:val="28"/>
        </w:rPr>
        <w:t>（二）上市公司股票、存托凭证，以及中国证监会认可的其他标准化股权类资产；</w:t>
      </w:r>
    </w:p>
    <w:p w:rsidR="00400373" w:rsidRPr="00400373" w:rsidRDefault="00400373" w:rsidP="00951B23">
      <w:pPr>
        <w:pStyle w:val="a5"/>
        <w:adjustRightInd w:val="0"/>
        <w:snapToGrid w:val="0"/>
        <w:spacing w:line="360" w:lineRule="auto"/>
        <w:ind w:leftChars="0" w:left="0" w:firstLine="560"/>
        <w:rPr>
          <w:rFonts w:ascii="仿宋_GB2312" w:eastAsia="仿宋_GB2312"/>
          <w:noProof/>
          <w:sz w:val="28"/>
          <w:szCs w:val="28"/>
        </w:rPr>
      </w:pPr>
      <w:r w:rsidRPr="00400373">
        <w:rPr>
          <w:rFonts w:ascii="仿宋_GB2312" w:eastAsia="仿宋_GB2312" w:hint="eastAsia"/>
          <w:noProof/>
          <w:sz w:val="28"/>
          <w:szCs w:val="28"/>
        </w:rPr>
        <w:t>（三）在证券期货交易所等国务院同意设立的交易场所集中交易清算的期货及期权合约等标准化商品及金融衍生品类资产；</w:t>
      </w:r>
    </w:p>
    <w:p w:rsidR="005D3CD0" w:rsidRPr="00951B23" w:rsidRDefault="00400373" w:rsidP="00671736">
      <w:pPr>
        <w:pStyle w:val="a5"/>
        <w:adjustRightInd w:val="0"/>
        <w:snapToGrid w:val="0"/>
        <w:spacing w:line="360" w:lineRule="auto"/>
        <w:ind w:leftChars="0" w:left="0" w:firstLine="560"/>
        <w:rPr>
          <w:rFonts w:ascii="仿宋_GB2312" w:eastAsia="仿宋_GB2312"/>
          <w:noProof/>
          <w:sz w:val="28"/>
          <w:szCs w:val="28"/>
        </w:rPr>
      </w:pPr>
      <w:r w:rsidRPr="00400373">
        <w:rPr>
          <w:rFonts w:ascii="仿宋_GB2312" w:eastAsia="仿宋_GB2312" w:hint="eastAsia"/>
          <w:noProof/>
          <w:sz w:val="28"/>
          <w:szCs w:val="28"/>
        </w:rPr>
        <w:t>（四）公开募集证券投资基金（以下简称公募基金），以及中</w:t>
      </w:r>
      <w:r w:rsidRPr="00951B23">
        <w:rPr>
          <w:rFonts w:ascii="仿宋_GB2312" w:eastAsia="仿宋_GB2312" w:hint="eastAsia"/>
          <w:noProof/>
          <w:sz w:val="28"/>
          <w:szCs w:val="28"/>
        </w:rPr>
        <w:t>国证监会认可的比照公募基金管理的资产管理产品</w:t>
      </w:r>
      <w:r>
        <w:rPr>
          <w:rFonts w:ascii="仿宋_GB2312" w:eastAsia="仿宋_GB2312" w:hint="eastAsia"/>
          <w:noProof/>
          <w:sz w:val="28"/>
          <w:szCs w:val="28"/>
        </w:rPr>
        <w:t>。</w:t>
      </w:r>
    </w:p>
    <w:p w:rsidR="00530C98" w:rsidRDefault="005D3CD0" w:rsidP="00951B23">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lastRenderedPageBreak/>
        <w:t>非标准化产品</w:t>
      </w:r>
      <w:r w:rsidR="00530C98">
        <w:rPr>
          <w:rFonts w:ascii="仿宋_GB2312" w:eastAsia="仿宋_GB2312" w:hint="eastAsia"/>
          <w:noProof/>
          <w:sz w:val="28"/>
          <w:szCs w:val="28"/>
        </w:rPr>
        <w:t>主要指如下三类产品：</w:t>
      </w:r>
    </w:p>
    <w:p w:rsidR="00530C98" w:rsidRDefault="00530C98" w:rsidP="00951B23">
      <w:pPr>
        <w:adjustRightInd w:val="0"/>
        <w:snapToGrid w:val="0"/>
        <w:spacing w:line="360" w:lineRule="auto"/>
        <w:ind w:firstLineChars="200" w:firstLine="560"/>
        <w:rPr>
          <w:rFonts w:ascii="仿宋_GB2312" w:eastAsia="仿宋_GB2312"/>
          <w:noProof/>
          <w:sz w:val="28"/>
          <w:szCs w:val="28"/>
        </w:rPr>
      </w:pPr>
      <w:r>
        <w:rPr>
          <w:rFonts w:ascii="仿宋_GB2312" w:eastAsia="仿宋_GB2312" w:hint="eastAsia"/>
          <w:noProof/>
          <w:sz w:val="28"/>
          <w:szCs w:val="28"/>
        </w:rPr>
        <w:t>（一）上述</w:t>
      </w:r>
      <w:r w:rsidRPr="00530C98">
        <w:rPr>
          <w:rFonts w:ascii="仿宋_GB2312" w:eastAsia="仿宋_GB2312" w:hint="eastAsia"/>
          <w:noProof/>
          <w:sz w:val="28"/>
          <w:szCs w:val="28"/>
        </w:rPr>
        <w:t>第（一）至（三）项规定以外的非标准化债权类资产、股权类资产、商品及金融衍生品类资产；</w:t>
      </w:r>
    </w:p>
    <w:p w:rsidR="00530C98" w:rsidRDefault="00530C98" w:rsidP="00951B23">
      <w:pPr>
        <w:adjustRightInd w:val="0"/>
        <w:snapToGrid w:val="0"/>
        <w:spacing w:line="360" w:lineRule="auto"/>
        <w:ind w:firstLineChars="200" w:firstLine="560"/>
        <w:rPr>
          <w:rFonts w:ascii="仿宋_GB2312" w:eastAsia="仿宋_GB2312"/>
          <w:noProof/>
          <w:sz w:val="28"/>
          <w:szCs w:val="28"/>
        </w:rPr>
      </w:pPr>
      <w:r>
        <w:rPr>
          <w:rFonts w:ascii="仿宋_GB2312" w:eastAsia="仿宋_GB2312" w:hint="eastAsia"/>
          <w:noProof/>
          <w:sz w:val="28"/>
          <w:szCs w:val="28"/>
        </w:rPr>
        <w:t>（二）上述</w:t>
      </w:r>
      <w:r w:rsidRPr="00530C98">
        <w:rPr>
          <w:rFonts w:ascii="仿宋_GB2312" w:eastAsia="仿宋_GB2312" w:hint="eastAsia"/>
          <w:noProof/>
          <w:sz w:val="28"/>
          <w:szCs w:val="28"/>
        </w:rPr>
        <w:t>第（四）项规定以外的其他受国务院金融监督管理机构监管的机构发行的资产管理产品</w:t>
      </w:r>
      <w:r>
        <w:rPr>
          <w:rFonts w:ascii="仿宋_GB2312" w:eastAsia="仿宋_GB2312" w:hint="eastAsia"/>
          <w:noProof/>
          <w:sz w:val="28"/>
          <w:szCs w:val="28"/>
        </w:rPr>
        <w:t>；</w:t>
      </w:r>
    </w:p>
    <w:p w:rsidR="005D3CD0" w:rsidRPr="00B64A66" w:rsidRDefault="00530C98" w:rsidP="00951B23">
      <w:pPr>
        <w:adjustRightInd w:val="0"/>
        <w:snapToGrid w:val="0"/>
        <w:spacing w:line="360" w:lineRule="auto"/>
        <w:ind w:firstLineChars="200" w:firstLine="560"/>
        <w:rPr>
          <w:rFonts w:ascii="仿宋_GB2312" w:eastAsia="仿宋_GB2312"/>
          <w:noProof/>
          <w:sz w:val="28"/>
          <w:szCs w:val="28"/>
        </w:rPr>
      </w:pPr>
      <w:r>
        <w:rPr>
          <w:rFonts w:ascii="仿宋_GB2312" w:eastAsia="仿宋_GB2312" w:hint="eastAsia"/>
          <w:noProof/>
          <w:sz w:val="28"/>
          <w:szCs w:val="28"/>
        </w:rPr>
        <w:t>（三）</w:t>
      </w:r>
      <w:r w:rsidRPr="00530C98">
        <w:rPr>
          <w:rFonts w:ascii="仿宋_GB2312" w:eastAsia="仿宋_GB2312" w:hint="eastAsia"/>
          <w:noProof/>
          <w:sz w:val="28"/>
          <w:szCs w:val="28"/>
        </w:rPr>
        <w:t>中国证监会认可的其他资产</w:t>
      </w:r>
      <w:r w:rsidR="005D3CD0" w:rsidRPr="00B64A66">
        <w:rPr>
          <w:rFonts w:ascii="仿宋_GB2312" w:eastAsia="仿宋_GB2312" w:hint="eastAsia"/>
          <w:noProof/>
          <w:sz w:val="28"/>
          <w:szCs w:val="28"/>
        </w:rPr>
        <w:t>。</w:t>
      </w:r>
    </w:p>
    <w:p w:rsidR="005D3CD0" w:rsidRPr="00B64A66" w:rsidRDefault="005D3CD0" w:rsidP="00B64A66">
      <w:pPr>
        <w:adjustRightInd w:val="0"/>
        <w:snapToGrid w:val="0"/>
        <w:spacing w:line="360" w:lineRule="auto"/>
        <w:ind w:firstLineChars="200" w:firstLine="562"/>
        <w:rPr>
          <w:rFonts w:ascii="仿宋_GB2312" w:eastAsia="仿宋_GB2312"/>
          <w:b/>
          <w:noProof/>
          <w:sz w:val="28"/>
          <w:szCs w:val="28"/>
        </w:rPr>
      </w:pPr>
      <w:r w:rsidRPr="00B64A66">
        <w:rPr>
          <w:rFonts w:ascii="仿宋_GB2312" w:eastAsia="仿宋_GB2312" w:hint="eastAsia"/>
          <w:b/>
          <w:noProof/>
          <w:sz w:val="28"/>
          <w:szCs w:val="28"/>
        </w:rPr>
        <w:t>第二条 标准化产品风险评估要素</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公司在划分标准化产品等级时应当综合考虑以下因素：</w:t>
      </w:r>
    </w:p>
    <w:p w:rsidR="005D3CD0" w:rsidRPr="00B64A66" w:rsidRDefault="005D3CD0" w:rsidP="0067173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（一）产品流动性</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（二）产品到期时限</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（三）产品杠杆情况</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（四）产品结构复杂性</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（五）投资单位产品最低金额</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（六）产品投资范围；</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（七）募集方式</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（八）产品结构和投资策略评价</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（九）现任投资主办管理经验与历史业绩评价</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（十）同类产品过往业绩</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（十一）预警线与清盘线评价</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（十二）有无自有资金承担风险补偿</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（十三）其他因素</w:t>
      </w:r>
    </w:p>
    <w:p w:rsidR="005D3CD0" w:rsidRPr="00B64A66" w:rsidRDefault="005D3CD0" w:rsidP="00B64A66">
      <w:pPr>
        <w:adjustRightInd w:val="0"/>
        <w:snapToGrid w:val="0"/>
        <w:spacing w:line="360" w:lineRule="auto"/>
        <w:ind w:firstLineChars="200" w:firstLine="562"/>
        <w:rPr>
          <w:rFonts w:ascii="仿宋_GB2312" w:eastAsia="仿宋_GB2312"/>
          <w:b/>
          <w:noProof/>
          <w:sz w:val="28"/>
          <w:szCs w:val="28"/>
        </w:rPr>
      </w:pPr>
      <w:r w:rsidRPr="00B64A66">
        <w:rPr>
          <w:rFonts w:ascii="仿宋_GB2312" w:eastAsia="仿宋_GB2312" w:hint="eastAsia"/>
          <w:b/>
          <w:noProof/>
          <w:sz w:val="28"/>
          <w:szCs w:val="28"/>
        </w:rPr>
        <w:t>第三条 非标准化产品风险评估要素</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 xml:space="preserve">  公司在划分非标准化产品等级时应当综合考虑以下因素：</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（一）产品流动性</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（二）产品到期时限</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lastRenderedPageBreak/>
        <w:t>（三）产品杠杆情况</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（四）产品结构复杂性</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（五）投资单位产品最低金额</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（六）产品投资范围；</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（七）募集方式</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（八）融资主体评级</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（九）融资主体信用状况</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（十）担保主体评级</w:t>
      </w:r>
      <w:r w:rsidR="00EC3440">
        <w:rPr>
          <w:rFonts w:ascii="仿宋_GB2312" w:eastAsia="仿宋_GB2312" w:hint="eastAsia"/>
          <w:noProof/>
          <w:sz w:val="28"/>
          <w:szCs w:val="28"/>
        </w:rPr>
        <w:t>和信用状况</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（十一）产品增信情况</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（十二）同类产品过往业绩</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（十三）其他因素</w:t>
      </w:r>
    </w:p>
    <w:p w:rsidR="005D3CD0" w:rsidRPr="00B64A66" w:rsidRDefault="005D3CD0" w:rsidP="00B64A66">
      <w:pPr>
        <w:adjustRightInd w:val="0"/>
        <w:snapToGrid w:val="0"/>
        <w:spacing w:line="360" w:lineRule="auto"/>
        <w:ind w:firstLineChars="200" w:firstLine="562"/>
        <w:rPr>
          <w:rFonts w:ascii="仿宋_GB2312" w:eastAsia="仿宋_GB2312"/>
          <w:b/>
          <w:noProof/>
          <w:sz w:val="28"/>
          <w:szCs w:val="28"/>
        </w:rPr>
      </w:pPr>
      <w:r w:rsidRPr="00B64A66">
        <w:rPr>
          <w:rFonts w:ascii="仿宋_GB2312" w:eastAsia="仿宋_GB2312" w:hint="eastAsia"/>
          <w:b/>
          <w:noProof/>
          <w:sz w:val="28"/>
          <w:szCs w:val="28"/>
        </w:rPr>
        <w:t>第四条 产品风险等级划分</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公司针对不用类型产品风险评估要素对产品风险的影响程度，对不同风险评估要素及同一风险评估要素项下不同细项赋予一定的分值，并根据风险评估汇总分值将不同类型产品划分为五个等级（具体见附件一和附件二），其中：</w:t>
      </w:r>
    </w:p>
    <w:p w:rsidR="005D3CD0" w:rsidRPr="00AE7EB0" w:rsidRDefault="005D3CD0" w:rsidP="00B64A66">
      <w:pPr>
        <w:adjustRightInd w:val="0"/>
        <w:snapToGrid w:val="0"/>
        <w:spacing w:line="360" w:lineRule="auto"/>
        <w:ind w:firstLineChars="200" w:firstLine="560"/>
        <w:rPr>
          <w:rFonts w:ascii="仿宋_GB2312" w:eastAsia="仿宋_GB2312"/>
          <w:noProof/>
          <w:color w:val="000000" w:themeColor="text1"/>
          <w:sz w:val="28"/>
          <w:szCs w:val="28"/>
        </w:rPr>
      </w:pPr>
      <w:r w:rsidRPr="00AE7EB0">
        <w:rPr>
          <w:rFonts w:ascii="仿宋_GB2312" w:eastAsia="仿宋_GB2312" w:hint="eastAsia"/>
          <w:noProof/>
          <w:color w:val="000000" w:themeColor="text1"/>
          <w:sz w:val="28"/>
          <w:szCs w:val="28"/>
        </w:rPr>
        <w:t>（一）高风险等级（R5）：分值8</w:t>
      </w:r>
      <w:r w:rsidR="00090688" w:rsidRPr="00AE7EB0">
        <w:rPr>
          <w:rFonts w:ascii="仿宋_GB2312" w:eastAsia="仿宋_GB2312" w:hint="eastAsia"/>
          <w:noProof/>
          <w:color w:val="000000" w:themeColor="text1"/>
          <w:sz w:val="28"/>
          <w:szCs w:val="28"/>
        </w:rPr>
        <w:t>5</w:t>
      </w:r>
      <w:r w:rsidRPr="00AE7EB0">
        <w:rPr>
          <w:rFonts w:ascii="仿宋_GB2312" w:eastAsia="仿宋_GB2312" w:hint="eastAsia"/>
          <w:noProof/>
          <w:color w:val="000000" w:themeColor="text1"/>
          <w:sz w:val="28"/>
          <w:szCs w:val="28"/>
        </w:rPr>
        <w:t>分（含）以上；</w:t>
      </w:r>
    </w:p>
    <w:p w:rsidR="005D3CD0" w:rsidRPr="00AE7EB0" w:rsidRDefault="005D3CD0" w:rsidP="00B64A66">
      <w:pPr>
        <w:adjustRightInd w:val="0"/>
        <w:snapToGrid w:val="0"/>
        <w:spacing w:line="360" w:lineRule="auto"/>
        <w:ind w:firstLineChars="200" w:firstLine="560"/>
        <w:rPr>
          <w:rFonts w:ascii="仿宋_GB2312" w:eastAsia="仿宋_GB2312"/>
          <w:noProof/>
          <w:color w:val="000000" w:themeColor="text1"/>
          <w:sz w:val="28"/>
          <w:szCs w:val="28"/>
        </w:rPr>
      </w:pPr>
      <w:r w:rsidRPr="00AE7EB0">
        <w:rPr>
          <w:rFonts w:ascii="仿宋_GB2312" w:eastAsia="仿宋_GB2312" w:hint="eastAsia"/>
          <w:noProof/>
          <w:color w:val="000000" w:themeColor="text1"/>
          <w:sz w:val="28"/>
          <w:szCs w:val="28"/>
        </w:rPr>
        <w:t>（二）较高风险等级（R4）：分值</w:t>
      </w:r>
      <w:r w:rsidR="009406CC" w:rsidRPr="00AE7EB0">
        <w:rPr>
          <w:rFonts w:ascii="仿宋_GB2312" w:eastAsia="仿宋_GB2312" w:hint="eastAsia"/>
          <w:noProof/>
          <w:color w:val="000000" w:themeColor="text1"/>
          <w:sz w:val="28"/>
          <w:szCs w:val="28"/>
        </w:rPr>
        <w:t>70</w:t>
      </w:r>
      <w:r w:rsidRPr="00AE7EB0">
        <w:rPr>
          <w:rFonts w:ascii="仿宋_GB2312" w:eastAsia="仿宋_GB2312" w:hint="eastAsia"/>
          <w:noProof/>
          <w:color w:val="000000" w:themeColor="text1"/>
          <w:sz w:val="28"/>
          <w:szCs w:val="28"/>
        </w:rPr>
        <w:t>分（含）-8</w:t>
      </w:r>
      <w:r w:rsidR="009406CC" w:rsidRPr="00AE7EB0">
        <w:rPr>
          <w:rFonts w:ascii="仿宋_GB2312" w:eastAsia="仿宋_GB2312" w:hint="eastAsia"/>
          <w:noProof/>
          <w:color w:val="000000" w:themeColor="text1"/>
          <w:sz w:val="28"/>
          <w:szCs w:val="28"/>
        </w:rPr>
        <w:t>5</w:t>
      </w:r>
      <w:r w:rsidRPr="00AE7EB0">
        <w:rPr>
          <w:rFonts w:ascii="仿宋_GB2312" w:eastAsia="仿宋_GB2312" w:hint="eastAsia"/>
          <w:noProof/>
          <w:color w:val="000000" w:themeColor="text1"/>
          <w:sz w:val="28"/>
          <w:szCs w:val="28"/>
        </w:rPr>
        <w:t>分</w:t>
      </w:r>
    </w:p>
    <w:p w:rsidR="005D3CD0" w:rsidRPr="00AE7EB0" w:rsidRDefault="005D3CD0" w:rsidP="00B64A66">
      <w:pPr>
        <w:adjustRightInd w:val="0"/>
        <w:snapToGrid w:val="0"/>
        <w:spacing w:line="360" w:lineRule="auto"/>
        <w:ind w:firstLineChars="200" w:firstLine="560"/>
        <w:rPr>
          <w:rFonts w:ascii="仿宋_GB2312" w:eastAsia="仿宋_GB2312"/>
          <w:noProof/>
          <w:color w:val="000000" w:themeColor="text1"/>
          <w:sz w:val="28"/>
          <w:szCs w:val="28"/>
        </w:rPr>
      </w:pPr>
      <w:r w:rsidRPr="00AE7EB0">
        <w:rPr>
          <w:rFonts w:ascii="仿宋_GB2312" w:eastAsia="仿宋_GB2312" w:hint="eastAsia"/>
          <w:noProof/>
          <w:color w:val="000000" w:themeColor="text1"/>
          <w:sz w:val="28"/>
          <w:szCs w:val="28"/>
        </w:rPr>
        <w:t>（三）中风险等级（R3）：分值50分（含）-</w:t>
      </w:r>
      <w:r w:rsidR="009406CC" w:rsidRPr="00AE7EB0">
        <w:rPr>
          <w:rFonts w:ascii="仿宋_GB2312" w:eastAsia="仿宋_GB2312" w:hint="eastAsia"/>
          <w:noProof/>
          <w:color w:val="000000" w:themeColor="text1"/>
          <w:sz w:val="28"/>
          <w:szCs w:val="28"/>
        </w:rPr>
        <w:t>70</w:t>
      </w:r>
      <w:r w:rsidRPr="00AE7EB0">
        <w:rPr>
          <w:rFonts w:ascii="仿宋_GB2312" w:eastAsia="仿宋_GB2312" w:hint="eastAsia"/>
          <w:noProof/>
          <w:color w:val="000000" w:themeColor="text1"/>
          <w:sz w:val="28"/>
          <w:szCs w:val="28"/>
        </w:rPr>
        <w:t>分</w:t>
      </w:r>
    </w:p>
    <w:p w:rsidR="005D3CD0" w:rsidRPr="00AE7EB0" w:rsidRDefault="005D3CD0" w:rsidP="00B64A66">
      <w:pPr>
        <w:adjustRightInd w:val="0"/>
        <w:snapToGrid w:val="0"/>
        <w:spacing w:line="360" w:lineRule="auto"/>
        <w:ind w:firstLineChars="200" w:firstLine="560"/>
        <w:rPr>
          <w:rFonts w:ascii="仿宋_GB2312" w:eastAsia="仿宋_GB2312"/>
          <w:noProof/>
          <w:color w:val="000000" w:themeColor="text1"/>
          <w:sz w:val="28"/>
          <w:szCs w:val="28"/>
        </w:rPr>
      </w:pPr>
      <w:r w:rsidRPr="00AE7EB0">
        <w:rPr>
          <w:rFonts w:ascii="仿宋_GB2312" w:eastAsia="仿宋_GB2312" w:hint="eastAsia"/>
          <w:noProof/>
          <w:color w:val="000000" w:themeColor="text1"/>
          <w:sz w:val="28"/>
          <w:szCs w:val="28"/>
        </w:rPr>
        <w:t>（四）较低风险等级（R2）：分值35分（含）50分</w:t>
      </w:r>
    </w:p>
    <w:p w:rsidR="005D3CD0" w:rsidRPr="00AE7EB0" w:rsidRDefault="005D3CD0" w:rsidP="00B64A66">
      <w:pPr>
        <w:adjustRightInd w:val="0"/>
        <w:snapToGrid w:val="0"/>
        <w:spacing w:line="360" w:lineRule="auto"/>
        <w:ind w:firstLineChars="200" w:firstLine="560"/>
        <w:rPr>
          <w:rFonts w:ascii="仿宋_GB2312" w:eastAsia="仿宋_GB2312"/>
          <w:noProof/>
          <w:color w:val="000000" w:themeColor="text1"/>
          <w:sz w:val="28"/>
          <w:szCs w:val="28"/>
        </w:rPr>
      </w:pPr>
      <w:r w:rsidRPr="00AE7EB0">
        <w:rPr>
          <w:rFonts w:ascii="仿宋_GB2312" w:eastAsia="仿宋_GB2312" w:hint="eastAsia"/>
          <w:noProof/>
          <w:color w:val="000000" w:themeColor="text1"/>
          <w:sz w:val="28"/>
          <w:szCs w:val="28"/>
        </w:rPr>
        <w:t>（五）低风险等级（R1）：分值35分以下</w:t>
      </w:r>
    </w:p>
    <w:p w:rsidR="005D3CD0" w:rsidRPr="00B64A66" w:rsidRDefault="005D3CD0" w:rsidP="00B64A66">
      <w:pPr>
        <w:adjustRightInd w:val="0"/>
        <w:snapToGrid w:val="0"/>
        <w:spacing w:line="360" w:lineRule="auto"/>
        <w:ind w:firstLineChars="200" w:firstLine="562"/>
        <w:rPr>
          <w:rFonts w:ascii="仿宋_GB2312" w:eastAsia="仿宋_GB2312"/>
          <w:b/>
          <w:noProof/>
          <w:sz w:val="28"/>
          <w:szCs w:val="28"/>
        </w:rPr>
      </w:pPr>
      <w:r w:rsidRPr="00B64A66">
        <w:rPr>
          <w:rFonts w:ascii="仿宋_GB2312" w:eastAsia="仿宋_GB2312" w:hint="eastAsia"/>
          <w:b/>
          <w:noProof/>
          <w:sz w:val="28"/>
          <w:szCs w:val="28"/>
        </w:rPr>
        <w:t>第五条 产品风险等级与投资者风险偏好类型匹配</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根据第四条产品风险等级的划分结果，产品风险等级与投资者风险偏好类型匹配关系如下：</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（一）积极型投资者可购买或接受高风险（R5）、较高风险（R4）、</w:t>
      </w:r>
      <w:r w:rsidRPr="00B64A66">
        <w:rPr>
          <w:rFonts w:ascii="仿宋_GB2312" w:eastAsia="仿宋_GB2312" w:hint="eastAsia"/>
          <w:noProof/>
          <w:sz w:val="28"/>
          <w:szCs w:val="28"/>
        </w:rPr>
        <w:lastRenderedPageBreak/>
        <w:t xml:space="preserve">中风险（R3）、较低风险（R2）和低风险（R1）的金融产品； </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 xml:space="preserve">（二）成长型投资者可购买或接受较高风险（R4）、中风险（R3）、较低风险（R2）和低风险（R1）的金融产品； </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 xml:space="preserve">（三）平衡型投资者可购买或接受中风险（R3）、较低风险（R2）和低风险（R1）的金融产品； </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 xml:space="preserve">（四）稳健型投资者可购买或接受较低风险（R2）和低风险（R1）的金融产品； </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（五）保守型投资者可购买或接受低风险（R1）的金融产品。</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int="eastAsia"/>
          <w:noProof/>
          <w:sz w:val="28"/>
          <w:szCs w:val="28"/>
        </w:rPr>
        <w:t>公司不得向风险承受能力最低类别的投资者销售或者提供风险等级高于其风险承受能力的产品。</w:t>
      </w:r>
    </w:p>
    <w:p w:rsidR="005D3CD0" w:rsidRPr="00B64A66" w:rsidRDefault="005D3CD0" w:rsidP="00B64A66">
      <w:pPr>
        <w:adjustRightInd w:val="0"/>
        <w:snapToGrid w:val="0"/>
        <w:spacing w:line="360" w:lineRule="auto"/>
        <w:ind w:firstLineChars="200" w:firstLine="562"/>
        <w:rPr>
          <w:rFonts w:ascii="仿宋_GB2312" w:eastAsia="仿宋_GB2312"/>
          <w:b/>
          <w:noProof/>
          <w:sz w:val="28"/>
          <w:szCs w:val="28"/>
        </w:rPr>
      </w:pPr>
      <w:r w:rsidRPr="00B64A66">
        <w:rPr>
          <w:rFonts w:ascii="仿宋_GB2312" w:eastAsia="仿宋_GB2312" w:hint="eastAsia"/>
          <w:b/>
          <w:noProof/>
          <w:sz w:val="28"/>
          <w:szCs w:val="28"/>
        </w:rPr>
        <w:t>第六条  附则</w:t>
      </w:r>
    </w:p>
    <w:p w:rsidR="005D3CD0" w:rsidRPr="00B64A66" w:rsidRDefault="005D3CD0" w:rsidP="00B64A66">
      <w:pPr>
        <w:adjustRightInd w:val="0"/>
        <w:snapToGrid w:val="0"/>
        <w:spacing w:line="360" w:lineRule="auto"/>
        <w:ind w:firstLineChars="200" w:firstLine="560"/>
        <w:rPr>
          <w:rFonts w:ascii="仿宋_GB2312" w:eastAsia="仿宋_GB2312"/>
          <w:noProof/>
          <w:sz w:val="28"/>
          <w:szCs w:val="28"/>
        </w:rPr>
      </w:pPr>
      <w:r w:rsidRPr="00B64A66">
        <w:rPr>
          <w:rFonts w:ascii="仿宋_GB2312" w:eastAsia="仿宋_GB2312" w:hAnsi="宋体" w:hint="eastAsia"/>
          <w:sz w:val="28"/>
          <w:szCs w:val="28"/>
        </w:rPr>
        <w:t>本</w:t>
      </w:r>
      <w:r w:rsidR="00907D69">
        <w:rPr>
          <w:rFonts w:ascii="仿宋_GB2312" w:eastAsia="仿宋_GB2312" w:hAnsi="宋体" w:hint="eastAsia"/>
          <w:sz w:val="28"/>
          <w:szCs w:val="28"/>
        </w:rPr>
        <w:t>办法由风险管理部负责解释和修订，自总经理办公会议</w:t>
      </w:r>
      <w:r w:rsidRPr="00B64A66">
        <w:rPr>
          <w:rFonts w:ascii="仿宋_GB2312" w:eastAsia="仿宋_GB2312" w:hAnsi="宋体" w:hint="eastAsia"/>
          <w:sz w:val="28"/>
          <w:szCs w:val="28"/>
        </w:rPr>
        <w:t>批准并发布后生效。</w:t>
      </w:r>
    </w:p>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5D3CD0"/>
    <w:p w:rsidR="005D3CD0" w:rsidRPr="00C931E8" w:rsidRDefault="0087000D" w:rsidP="0087000D">
      <w:pPr>
        <w:widowControl/>
        <w:jc w:val="left"/>
      </w:pPr>
      <w:r>
        <w:br w:type="page"/>
      </w:r>
    </w:p>
    <w:p w:rsidR="000D7E52" w:rsidRPr="00C931E8" w:rsidRDefault="000D7E52" w:rsidP="000D7E52">
      <w:pPr>
        <w:widowControl/>
        <w:rPr>
          <w:b/>
          <w:noProof/>
          <w:sz w:val="24"/>
          <w:szCs w:val="24"/>
        </w:rPr>
      </w:pPr>
      <w:r w:rsidRPr="00C931E8">
        <w:rPr>
          <w:rFonts w:hint="eastAsia"/>
          <w:b/>
          <w:noProof/>
          <w:sz w:val="24"/>
          <w:szCs w:val="24"/>
        </w:rPr>
        <w:lastRenderedPageBreak/>
        <w:t>附件一：</w:t>
      </w:r>
    </w:p>
    <w:p w:rsidR="005D3CD0" w:rsidRPr="00C931E8" w:rsidRDefault="000D7E52" w:rsidP="000D7E52">
      <w:pPr>
        <w:jc w:val="center"/>
        <w:rPr>
          <w:rFonts w:ascii="宋体" w:hAnsi="宋体"/>
          <w:b/>
          <w:sz w:val="24"/>
          <w:szCs w:val="24"/>
        </w:rPr>
      </w:pPr>
      <w:r w:rsidRPr="00C931E8">
        <w:rPr>
          <w:rFonts w:ascii="宋体" w:hAnsi="宋体" w:hint="eastAsia"/>
          <w:b/>
          <w:sz w:val="24"/>
          <w:szCs w:val="24"/>
        </w:rPr>
        <w:t>产品风险等级评估表（标准化投资类产品适用）</w:t>
      </w:r>
    </w:p>
    <w:tbl>
      <w:tblPr>
        <w:tblpPr w:leftFromText="180" w:rightFromText="180" w:vertAnchor="page" w:horzAnchor="margin" w:tblpY="2281"/>
        <w:tblW w:w="5489" w:type="pct"/>
        <w:tblLayout w:type="fixed"/>
        <w:tblLook w:val="04A0" w:firstRow="1" w:lastRow="0" w:firstColumn="1" w:lastColumn="0" w:noHBand="0" w:noVBand="1"/>
      </w:tblPr>
      <w:tblGrid>
        <w:gridCol w:w="993"/>
        <w:gridCol w:w="808"/>
        <w:gridCol w:w="841"/>
        <w:gridCol w:w="785"/>
        <w:gridCol w:w="217"/>
        <w:gridCol w:w="727"/>
        <w:gridCol w:w="1022"/>
        <w:gridCol w:w="725"/>
        <w:gridCol w:w="442"/>
        <w:gridCol w:w="435"/>
        <w:gridCol w:w="1168"/>
        <w:gridCol w:w="729"/>
        <w:gridCol w:w="727"/>
      </w:tblGrid>
      <w:tr w:rsidR="000D7E52" w:rsidRPr="00C931E8" w:rsidTr="000D7E52">
        <w:trPr>
          <w:trHeight w:val="270"/>
        </w:trPr>
        <w:tc>
          <w:tcPr>
            <w:tcW w:w="4622" w:type="pct"/>
            <w:gridSpan w:val="12"/>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rPr>
            </w:pPr>
            <w:r w:rsidRPr="00C931E8">
              <w:rPr>
                <w:rFonts w:ascii="宋体" w:hAnsi="宋体" w:cs="宋体" w:hint="eastAsia"/>
                <w:kern w:val="0"/>
              </w:rPr>
              <w:t>产品名称及编号：</w:t>
            </w:r>
            <w:r w:rsidRPr="00C931E8">
              <w:rPr>
                <w:kern w:val="0"/>
              </w:rPr>
              <w:t xml:space="preserve">                  </w:t>
            </w:r>
            <w:r w:rsidRPr="00C931E8">
              <w:rPr>
                <w:rFonts w:ascii="宋体" w:hAnsi="宋体" w:cs="宋体" w:hint="eastAsia"/>
                <w:kern w:val="0"/>
              </w:rPr>
              <w:t>专项资产管理计划</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widowControl/>
              <w:jc w:val="left"/>
              <w:rPr>
                <w:rFonts w:ascii="宋体" w:eastAsia="宋体" w:hAnsi="宋体" w:cs="宋体"/>
                <w:kern w:val="0"/>
                <w:szCs w:val="21"/>
              </w:rPr>
            </w:pPr>
            <w:r w:rsidRPr="00C931E8">
              <w:rPr>
                <w:rFonts w:ascii="宋体" w:eastAsia="宋体" w:hAnsi="宋体" w:cs="宋体" w:hint="eastAsia"/>
                <w:kern w:val="0"/>
                <w:szCs w:val="21"/>
              </w:rPr>
              <w:t>打分</w:t>
            </w:r>
          </w:p>
        </w:tc>
      </w:tr>
      <w:tr w:rsidR="000D7E52" w:rsidRPr="00C931E8" w:rsidTr="000D7E52">
        <w:trPr>
          <w:trHeight w:val="270"/>
        </w:trPr>
        <w:tc>
          <w:tcPr>
            <w:tcW w:w="4622" w:type="pct"/>
            <w:gridSpan w:val="12"/>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rPr>
            </w:pPr>
            <w:r w:rsidRPr="00C931E8">
              <w:rPr>
                <w:rFonts w:ascii="宋体" w:hAnsi="宋体" w:cs="宋体" w:hint="eastAsia"/>
                <w:kern w:val="0"/>
              </w:rPr>
              <w:t>提请评估部门：</w:t>
            </w:r>
            <w:r w:rsidRPr="00C931E8">
              <w:rPr>
                <w:kern w:val="0"/>
              </w:rPr>
              <w:t xml:space="preserve"> </w:t>
            </w: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widowControl/>
              <w:jc w:val="left"/>
              <w:rPr>
                <w:rFonts w:ascii="宋体" w:eastAsia="宋体" w:hAnsi="宋体" w:cs="宋体"/>
                <w:kern w:val="0"/>
                <w:szCs w:val="21"/>
              </w:rPr>
            </w:pPr>
          </w:p>
        </w:tc>
      </w:tr>
      <w:tr w:rsidR="000D7E52" w:rsidRPr="00C931E8" w:rsidTr="000D7E52">
        <w:trPr>
          <w:trHeight w:val="975"/>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1 </w:t>
            </w:r>
            <w:r w:rsidRPr="00C931E8">
              <w:rPr>
                <w:rFonts w:ascii="宋体" w:hAnsi="宋体" w:hint="eastAsia"/>
                <w:kern w:val="0"/>
                <w:sz w:val="20"/>
                <w:szCs w:val="20"/>
              </w:rPr>
              <w:t>产品流动性</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封闭期低于三个月（含）</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封闭期大于三个月低于六个月（含）</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封闭期大于六个月</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不设开放期</w:t>
            </w:r>
            <w:r w:rsidRPr="00C931E8">
              <w:rPr>
                <w:kern w:val="0"/>
                <w:sz w:val="20"/>
                <w:szCs w:val="20"/>
              </w:rPr>
              <w:t>/</w:t>
            </w:r>
            <w:r w:rsidRPr="00C931E8">
              <w:rPr>
                <w:rFonts w:ascii="宋体" w:hAnsi="宋体" w:cs="宋体" w:hint="eastAsia"/>
                <w:kern w:val="0"/>
                <w:sz w:val="20"/>
                <w:szCs w:val="20"/>
              </w:rPr>
              <w:t>或开放期由管理人决定</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15</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20</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5-20</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48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2 </w:t>
            </w:r>
            <w:r w:rsidRPr="00C931E8">
              <w:rPr>
                <w:rFonts w:ascii="宋体" w:hAnsi="宋体" w:hint="eastAsia"/>
                <w:kern w:val="0"/>
                <w:sz w:val="20"/>
                <w:szCs w:val="20"/>
              </w:rPr>
              <w:t>产品到期时限</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一年（含）及以内</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一年至二年（含）</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二年至三年（内）</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三年以上及无固定期限</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15</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20</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5-20</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3 </w:t>
            </w:r>
            <w:r w:rsidRPr="00C931E8">
              <w:rPr>
                <w:rFonts w:ascii="宋体" w:hAnsi="宋体" w:hint="eastAsia"/>
                <w:kern w:val="0"/>
                <w:sz w:val="20"/>
                <w:szCs w:val="20"/>
              </w:rPr>
              <w:t>杠杆情况</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无杠杆</w:t>
            </w:r>
            <w:r w:rsidRPr="00C931E8">
              <w:rPr>
                <w:kern w:val="0"/>
                <w:sz w:val="20"/>
                <w:szCs w:val="20"/>
              </w:rPr>
              <w:t>/</w:t>
            </w:r>
            <w:r w:rsidRPr="00C931E8">
              <w:rPr>
                <w:rFonts w:ascii="宋体" w:hAnsi="宋体" w:cs="宋体" w:hint="eastAsia"/>
                <w:kern w:val="0"/>
                <w:sz w:val="20"/>
                <w:szCs w:val="20"/>
              </w:rPr>
              <w:t>有杠杆（夹层）</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有杠杆（优先级）</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有杠杆（劣后级）</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其他情况</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72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kern w:val="0"/>
                <w:sz w:val="20"/>
                <w:szCs w:val="20"/>
              </w:rPr>
            </w:pPr>
          </w:p>
        </w:tc>
        <w:tc>
          <w:tcPr>
            <w:tcW w:w="43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低于1倍（含）</w:t>
            </w:r>
          </w:p>
        </w:tc>
        <w:tc>
          <w:tcPr>
            <w:tcW w:w="521"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1倍（不含）-3倍（不含）</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低于1倍（含）</w:t>
            </w:r>
          </w:p>
        </w:tc>
        <w:tc>
          <w:tcPr>
            <w:tcW w:w="531"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1倍（不含）-3倍（不含）</w:t>
            </w:r>
          </w:p>
        </w:tc>
        <w:tc>
          <w:tcPr>
            <w:tcW w:w="37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低于1倍（含）</w:t>
            </w:r>
          </w:p>
        </w:tc>
        <w:tc>
          <w:tcPr>
            <w:tcW w:w="456"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1倍（不含）-3倍（不含）</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671736" w:rsidRDefault="000D7E52" w:rsidP="000D7E52">
            <w:pPr>
              <w:rPr>
                <w:rFonts w:ascii="宋体" w:hAnsi="宋体" w:cs="宋体"/>
                <w:kern w:val="0"/>
                <w:sz w:val="20"/>
                <w:szCs w:val="20"/>
              </w:rPr>
            </w:pPr>
            <w:r w:rsidRPr="00671736">
              <w:rPr>
                <w:rFonts w:ascii="宋体" w:hAnsi="宋体" w:cs="宋体" w:hint="eastAsia"/>
                <w:kern w:val="0"/>
                <w:sz w:val="20"/>
                <w:szCs w:val="20"/>
              </w:rPr>
              <w:t>评分标准</w:t>
            </w:r>
          </w:p>
        </w:tc>
        <w:tc>
          <w:tcPr>
            <w:tcW w:w="437" w:type="pct"/>
            <w:tcBorders>
              <w:top w:val="nil"/>
              <w:left w:val="nil"/>
              <w:bottom w:val="single" w:sz="4" w:space="0" w:color="auto"/>
              <w:right w:val="single" w:sz="4" w:space="0" w:color="auto"/>
            </w:tcBorders>
            <w:shd w:val="clear" w:color="auto" w:fill="auto"/>
            <w:hideMark/>
          </w:tcPr>
          <w:p w:rsidR="000D7E52" w:rsidRPr="00671736" w:rsidRDefault="00090688" w:rsidP="000D7E52">
            <w:pPr>
              <w:rPr>
                <w:kern w:val="0"/>
                <w:sz w:val="20"/>
                <w:szCs w:val="20"/>
              </w:rPr>
            </w:pPr>
            <w:r w:rsidRPr="00671736">
              <w:rPr>
                <w:rFonts w:hint="eastAsia"/>
                <w:kern w:val="0"/>
                <w:sz w:val="20"/>
                <w:szCs w:val="20"/>
              </w:rPr>
              <w:t>5</w:t>
            </w:r>
          </w:p>
        </w:tc>
        <w:tc>
          <w:tcPr>
            <w:tcW w:w="521" w:type="pct"/>
            <w:gridSpan w:val="2"/>
            <w:tcBorders>
              <w:top w:val="nil"/>
              <w:left w:val="nil"/>
              <w:bottom w:val="single" w:sz="4" w:space="0" w:color="auto"/>
              <w:right w:val="single" w:sz="4" w:space="0" w:color="auto"/>
            </w:tcBorders>
            <w:shd w:val="clear" w:color="auto" w:fill="auto"/>
            <w:hideMark/>
          </w:tcPr>
          <w:p w:rsidR="000D7E52" w:rsidRPr="00671736" w:rsidRDefault="00090688" w:rsidP="000D7E52">
            <w:pPr>
              <w:rPr>
                <w:kern w:val="0"/>
                <w:sz w:val="20"/>
                <w:szCs w:val="20"/>
              </w:rPr>
            </w:pPr>
            <w:r w:rsidRPr="00671736">
              <w:rPr>
                <w:rFonts w:hint="eastAsia"/>
                <w:kern w:val="0"/>
                <w:sz w:val="20"/>
                <w:szCs w:val="20"/>
              </w:rPr>
              <w:t>10</w:t>
            </w:r>
          </w:p>
        </w:tc>
        <w:tc>
          <w:tcPr>
            <w:tcW w:w="378" w:type="pct"/>
            <w:tcBorders>
              <w:top w:val="nil"/>
              <w:left w:val="nil"/>
              <w:bottom w:val="single" w:sz="4" w:space="0" w:color="auto"/>
              <w:right w:val="single" w:sz="4" w:space="0" w:color="auto"/>
            </w:tcBorders>
            <w:shd w:val="clear" w:color="auto" w:fill="auto"/>
            <w:hideMark/>
          </w:tcPr>
          <w:p w:rsidR="000D7E52" w:rsidRPr="00671736" w:rsidRDefault="00090688" w:rsidP="000D7E52">
            <w:pPr>
              <w:rPr>
                <w:kern w:val="0"/>
                <w:sz w:val="20"/>
                <w:szCs w:val="20"/>
              </w:rPr>
            </w:pPr>
            <w:r w:rsidRPr="00671736">
              <w:rPr>
                <w:rFonts w:hint="eastAsia"/>
                <w:kern w:val="0"/>
                <w:sz w:val="20"/>
                <w:szCs w:val="20"/>
              </w:rPr>
              <w:t>0</w:t>
            </w:r>
          </w:p>
        </w:tc>
        <w:tc>
          <w:tcPr>
            <w:tcW w:w="531" w:type="pct"/>
            <w:tcBorders>
              <w:top w:val="nil"/>
              <w:left w:val="nil"/>
              <w:bottom w:val="single" w:sz="4" w:space="0" w:color="auto"/>
              <w:right w:val="single" w:sz="4" w:space="0" w:color="auto"/>
            </w:tcBorders>
            <w:shd w:val="clear" w:color="auto" w:fill="auto"/>
            <w:hideMark/>
          </w:tcPr>
          <w:p w:rsidR="000D7E52" w:rsidRPr="00671736" w:rsidRDefault="00090688" w:rsidP="000D7E52">
            <w:pPr>
              <w:rPr>
                <w:kern w:val="0"/>
                <w:sz w:val="20"/>
                <w:szCs w:val="20"/>
              </w:rPr>
            </w:pPr>
            <w:r w:rsidRPr="00671736">
              <w:rPr>
                <w:rFonts w:hint="eastAsia"/>
                <w:kern w:val="0"/>
                <w:sz w:val="20"/>
                <w:szCs w:val="20"/>
              </w:rPr>
              <w:t>5</w:t>
            </w:r>
          </w:p>
        </w:tc>
        <w:tc>
          <w:tcPr>
            <w:tcW w:w="377" w:type="pct"/>
            <w:tcBorders>
              <w:top w:val="nil"/>
              <w:left w:val="nil"/>
              <w:bottom w:val="single" w:sz="4" w:space="0" w:color="auto"/>
              <w:right w:val="single" w:sz="4" w:space="0" w:color="auto"/>
            </w:tcBorders>
            <w:shd w:val="clear" w:color="auto" w:fill="auto"/>
            <w:hideMark/>
          </w:tcPr>
          <w:p w:rsidR="000D7E52" w:rsidRPr="00671736" w:rsidRDefault="000D7E52" w:rsidP="000D7E52">
            <w:pPr>
              <w:rPr>
                <w:kern w:val="0"/>
                <w:sz w:val="20"/>
                <w:szCs w:val="20"/>
              </w:rPr>
            </w:pPr>
            <w:r w:rsidRPr="00671736">
              <w:rPr>
                <w:kern w:val="0"/>
                <w:sz w:val="20"/>
                <w:szCs w:val="20"/>
              </w:rPr>
              <w:t>10</w:t>
            </w:r>
          </w:p>
        </w:tc>
        <w:tc>
          <w:tcPr>
            <w:tcW w:w="456" w:type="pct"/>
            <w:gridSpan w:val="2"/>
            <w:tcBorders>
              <w:top w:val="nil"/>
              <w:left w:val="nil"/>
              <w:bottom w:val="single" w:sz="4" w:space="0" w:color="auto"/>
              <w:right w:val="single" w:sz="4" w:space="0" w:color="auto"/>
            </w:tcBorders>
            <w:shd w:val="clear" w:color="auto" w:fill="auto"/>
            <w:hideMark/>
          </w:tcPr>
          <w:p w:rsidR="000D7E52" w:rsidRPr="00671736" w:rsidRDefault="000D7E52" w:rsidP="000D7E52">
            <w:pPr>
              <w:rPr>
                <w:kern w:val="0"/>
                <w:sz w:val="20"/>
                <w:szCs w:val="20"/>
              </w:rPr>
            </w:pPr>
            <w:r w:rsidRPr="00671736">
              <w:rPr>
                <w:kern w:val="0"/>
                <w:sz w:val="20"/>
                <w:szCs w:val="20"/>
              </w:rPr>
              <w:t>15</w:t>
            </w:r>
          </w:p>
        </w:tc>
        <w:tc>
          <w:tcPr>
            <w:tcW w:w="607" w:type="pct"/>
            <w:tcBorders>
              <w:top w:val="nil"/>
              <w:left w:val="nil"/>
              <w:bottom w:val="single" w:sz="4" w:space="0" w:color="auto"/>
              <w:right w:val="single" w:sz="4" w:space="0" w:color="auto"/>
            </w:tcBorders>
            <w:shd w:val="clear" w:color="auto" w:fill="auto"/>
            <w:hideMark/>
          </w:tcPr>
          <w:p w:rsidR="000D7E52" w:rsidRPr="00671736" w:rsidRDefault="00090688" w:rsidP="000D7E52">
            <w:pPr>
              <w:rPr>
                <w:rFonts w:ascii="宋体" w:hAnsi="宋体" w:cs="宋体"/>
                <w:kern w:val="0"/>
                <w:sz w:val="20"/>
                <w:szCs w:val="20"/>
              </w:rPr>
            </w:pPr>
            <w:r w:rsidRPr="00671736">
              <w:rPr>
                <w:rFonts w:ascii="宋体" w:hAnsi="宋体" w:cs="宋体" w:hint="eastAsia"/>
                <w:kern w:val="0"/>
                <w:sz w:val="20"/>
                <w:szCs w:val="20"/>
              </w:rPr>
              <w:t>0</w:t>
            </w:r>
            <w:r w:rsidR="000D7E52" w:rsidRPr="00671736">
              <w:rPr>
                <w:rFonts w:ascii="宋体" w:hAnsi="宋体" w:cs="宋体" w:hint="eastAsia"/>
                <w:kern w:val="0"/>
                <w:sz w:val="20"/>
                <w:szCs w:val="20"/>
              </w:rPr>
              <w:t>-15</w:t>
            </w:r>
          </w:p>
        </w:tc>
        <w:tc>
          <w:tcPr>
            <w:tcW w:w="379" w:type="pct"/>
            <w:tcBorders>
              <w:top w:val="nil"/>
              <w:left w:val="nil"/>
              <w:bottom w:val="single" w:sz="4" w:space="0" w:color="auto"/>
              <w:right w:val="single" w:sz="4" w:space="0" w:color="auto"/>
            </w:tcBorders>
            <w:shd w:val="clear" w:color="auto" w:fill="auto"/>
            <w:hideMark/>
          </w:tcPr>
          <w:p w:rsidR="000D7E52" w:rsidRPr="00671736" w:rsidRDefault="000D7E52" w:rsidP="000D7E52">
            <w:pPr>
              <w:rPr>
                <w:kern w:val="0"/>
                <w:sz w:val="20"/>
                <w:szCs w:val="20"/>
              </w:rPr>
            </w:pPr>
            <w:r w:rsidRPr="00671736">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495"/>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4 </w:t>
            </w:r>
            <w:r w:rsidRPr="00C931E8">
              <w:rPr>
                <w:rFonts w:ascii="宋体" w:hAnsi="宋体" w:hint="eastAsia"/>
                <w:kern w:val="0"/>
                <w:sz w:val="20"/>
                <w:szCs w:val="20"/>
              </w:rPr>
              <w:t>是否复杂结构金融产品</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否</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是</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5 </w:t>
            </w:r>
            <w:r w:rsidRPr="00C931E8">
              <w:rPr>
                <w:rFonts w:ascii="宋体" w:hAnsi="宋体" w:hint="eastAsia"/>
                <w:kern w:val="0"/>
                <w:sz w:val="20"/>
                <w:szCs w:val="20"/>
              </w:rPr>
              <w:t>投资单位产品最低金额</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100</w:t>
            </w:r>
            <w:r w:rsidRPr="00C931E8">
              <w:rPr>
                <w:rFonts w:ascii="宋体" w:hAnsi="宋体" w:hint="eastAsia"/>
                <w:kern w:val="0"/>
                <w:sz w:val="20"/>
                <w:szCs w:val="20"/>
              </w:rPr>
              <w:t>万（含）至</w:t>
            </w:r>
            <w:r w:rsidRPr="00C931E8">
              <w:rPr>
                <w:kern w:val="0"/>
                <w:sz w:val="20"/>
                <w:szCs w:val="20"/>
              </w:rPr>
              <w:t>300</w:t>
            </w:r>
            <w:r w:rsidRPr="00C931E8">
              <w:rPr>
                <w:rFonts w:ascii="宋体" w:hAnsi="宋体" w:hint="eastAsia"/>
                <w:kern w:val="0"/>
                <w:sz w:val="20"/>
                <w:szCs w:val="20"/>
              </w:rPr>
              <w:t>万</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300</w:t>
            </w:r>
            <w:r w:rsidRPr="00C931E8">
              <w:rPr>
                <w:rFonts w:ascii="宋体" w:hAnsi="宋体" w:hint="eastAsia"/>
                <w:kern w:val="0"/>
                <w:sz w:val="20"/>
                <w:szCs w:val="20"/>
              </w:rPr>
              <w:t>万（含）以上</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833" w:type="pct"/>
            <w:gridSpan w:val="3"/>
            <w:tcBorders>
              <w:top w:val="single" w:sz="4" w:space="0" w:color="auto"/>
              <w:left w:val="nil"/>
              <w:bottom w:val="single" w:sz="4" w:space="0" w:color="auto"/>
              <w:right w:val="single" w:sz="4" w:space="0" w:color="000000"/>
            </w:tcBorders>
            <w:shd w:val="clear" w:color="auto" w:fill="auto"/>
            <w:hideMark/>
          </w:tcPr>
          <w:p w:rsidR="000D7E52" w:rsidRPr="00C931E8" w:rsidRDefault="000D7E52" w:rsidP="00090688">
            <w:pPr>
              <w:rPr>
                <w:rFonts w:ascii="宋体" w:hAnsi="宋体" w:cs="宋体"/>
                <w:kern w:val="0"/>
                <w:sz w:val="20"/>
                <w:szCs w:val="20"/>
              </w:rPr>
            </w:pPr>
            <w:r w:rsidRPr="00C931E8">
              <w:rPr>
                <w:rFonts w:ascii="宋体" w:hAnsi="宋体" w:cs="宋体" w:hint="eastAsia"/>
                <w:kern w:val="0"/>
                <w:sz w:val="20"/>
                <w:szCs w:val="20"/>
              </w:rPr>
              <w:t>-</w:t>
            </w:r>
            <w:r w:rsidR="00090688">
              <w:rPr>
                <w:rFonts w:ascii="宋体" w:hAnsi="宋体" w:cs="宋体" w:hint="eastAsia"/>
                <w:kern w:val="0"/>
                <w:sz w:val="20"/>
                <w:szCs w:val="20"/>
              </w:rPr>
              <w:t>0</w:t>
            </w:r>
            <w:r w:rsidRPr="00C931E8">
              <w:rPr>
                <w:rFonts w:ascii="宋体" w:hAnsi="宋体" w:cs="宋体" w:hint="eastAsia"/>
                <w:kern w:val="0"/>
                <w:sz w:val="20"/>
                <w:szCs w:val="20"/>
              </w:rPr>
              <w:t>-5</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6</w:t>
            </w:r>
            <w:r w:rsidRPr="00C931E8">
              <w:rPr>
                <w:rFonts w:ascii="宋体" w:hAnsi="宋体" w:hint="eastAsia"/>
                <w:kern w:val="0"/>
                <w:sz w:val="20"/>
                <w:szCs w:val="20"/>
              </w:rPr>
              <w:t>投资范围及方向</w:t>
            </w:r>
          </w:p>
        </w:tc>
        <w:tc>
          <w:tcPr>
            <w:tcW w:w="958"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权益类</w:t>
            </w:r>
          </w:p>
        </w:tc>
        <w:tc>
          <w:tcPr>
            <w:tcW w:w="90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混合类</w:t>
            </w:r>
          </w:p>
        </w:tc>
        <w:tc>
          <w:tcPr>
            <w:tcW w:w="83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固定收益类</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其他类</w:t>
            </w:r>
          </w:p>
        </w:tc>
        <w:tc>
          <w:tcPr>
            <w:tcW w:w="379" w:type="pct"/>
            <w:vMerge w:val="restart"/>
            <w:tcBorders>
              <w:top w:val="nil"/>
              <w:left w:val="single" w:sz="4" w:space="0" w:color="auto"/>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（穿透到底）</w:t>
            </w:r>
          </w:p>
        </w:tc>
        <w:tc>
          <w:tcPr>
            <w:tcW w:w="958" w:type="pct"/>
            <w:gridSpan w:val="3"/>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909"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833" w:type="pct"/>
            <w:gridSpan w:val="3"/>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379"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kern w:val="0"/>
                <w:sz w:val="20"/>
                <w:szCs w:val="20"/>
              </w:rPr>
            </w:pPr>
          </w:p>
        </w:tc>
        <w:tc>
          <w:tcPr>
            <w:tcW w:w="378"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widowControl/>
              <w:jc w:val="left"/>
              <w:rPr>
                <w:rFonts w:ascii="Times New Roman" w:eastAsia="宋体" w:hAnsi="Times New Roman" w:cs="Times New Roman"/>
                <w:kern w:val="0"/>
                <w:sz w:val="20"/>
                <w:szCs w:val="20"/>
              </w:rPr>
            </w:pP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30</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20</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10-30</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7 </w:t>
            </w:r>
            <w:r w:rsidRPr="00C931E8">
              <w:rPr>
                <w:rFonts w:ascii="宋体" w:hAnsi="宋体" w:hint="eastAsia"/>
                <w:kern w:val="0"/>
                <w:sz w:val="20"/>
                <w:szCs w:val="20"/>
              </w:rPr>
              <w:t>募集方式</w:t>
            </w:r>
          </w:p>
        </w:tc>
        <w:tc>
          <w:tcPr>
            <w:tcW w:w="958" w:type="pct"/>
            <w:gridSpan w:val="3"/>
            <w:tcBorders>
              <w:top w:val="single" w:sz="4" w:space="0" w:color="auto"/>
              <w:left w:val="nil"/>
              <w:bottom w:val="nil"/>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非金融机构代销</w:t>
            </w:r>
          </w:p>
        </w:tc>
        <w:tc>
          <w:tcPr>
            <w:tcW w:w="909" w:type="pct"/>
            <w:gridSpan w:val="2"/>
            <w:tcBorders>
              <w:top w:val="single" w:sz="4" w:space="0" w:color="auto"/>
              <w:left w:val="nil"/>
              <w:bottom w:val="nil"/>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金融机构代销</w:t>
            </w:r>
          </w:p>
        </w:tc>
        <w:tc>
          <w:tcPr>
            <w:tcW w:w="83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直销</w:t>
            </w:r>
          </w:p>
        </w:tc>
        <w:tc>
          <w:tcPr>
            <w:tcW w:w="607" w:type="pct"/>
            <w:vMerge w:val="restart"/>
            <w:tcBorders>
              <w:top w:val="nil"/>
              <w:left w:val="single" w:sz="4" w:space="0" w:color="auto"/>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混合类</w:t>
            </w:r>
          </w:p>
        </w:tc>
        <w:tc>
          <w:tcPr>
            <w:tcW w:w="379" w:type="pct"/>
            <w:vMerge w:val="restart"/>
            <w:tcBorders>
              <w:top w:val="nil"/>
              <w:left w:val="single" w:sz="4" w:space="0" w:color="auto"/>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kern w:val="0"/>
                <w:sz w:val="20"/>
                <w:szCs w:val="20"/>
              </w:rPr>
            </w:pPr>
          </w:p>
        </w:tc>
        <w:tc>
          <w:tcPr>
            <w:tcW w:w="958" w:type="pct"/>
            <w:gridSpan w:val="3"/>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（私募）</w:t>
            </w:r>
          </w:p>
        </w:tc>
        <w:tc>
          <w:tcPr>
            <w:tcW w:w="909"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（私募）</w:t>
            </w:r>
          </w:p>
        </w:tc>
        <w:tc>
          <w:tcPr>
            <w:tcW w:w="833" w:type="pct"/>
            <w:gridSpan w:val="3"/>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379"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kern w:val="0"/>
                <w:sz w:val="20"/>
                <w:szCs w:val="20"/>
              </w:rPr>
            </w:pPr>
          </w:p>
        </w:tc>
        <w:tc>
          <w:tcPr>
            <w:tcW w:w="378"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widowControl/>
              <w:jc w:val="left"/>
              <w:rPr>
                <w:rFonts w:ascii="Times New Roman" w:eastAsia="宋体" w:hAnsi="Times New Roman" w:cs="Times New Roman"/>
                <w:kern w:val="0"/>
                <w:sz w:val="20"/>
                <w:szCs w:val="20"/>
              </w:rPr>
            </w:pP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958"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909"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90688" w:rsidP="000D7E52">
            <w:pPr>
              <w:rPr>
                <w:kern w:val="0"/>
                <w:sz w:val="20"/>
                <w:szCs w:val="20"/>
              </w:rPr>
            </w:pPr>
            <w:r>
              <w:rPr>
                <w:rFonts w:hint="eastAsia"/>
                <w:kern w:val="0"/>
                <w:sz w:val="20"/>
                <w:szCs w:val="20"/>
              </w:rPr>
              <w:t>0</w:t>
            </w:r>
          </w:p>
        </w:tc>
        <w:tc>
          <w:tcPr>
            <w:tcW w:w="833"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607" w:type="pct"/>
            <w:tcBorders>
              <w:top w:val="nil"/>
              <w:left w:val="nil"/>
              <w:bottom w:val="single" w:sz="4" w:space="0" w:color="auto"/>
              <w:right w:val="single" w:sz="4" w:space="0" w:color="auto"/>
            </w:tcBorders>
            <w:shd w:val="clear" w:color="auto" w:fill="auto"/>
            <w:hideMark/>
          </w:tcPr>
          <w:p w:rsidR="000D7E52" w:rsidRPr="00C931E8" w:rsidRDefault="00090688" w:rsidP="000D7E52">
            <w:pPr>
              <w:rPr>
                <w:kern w:val="0"/>
                <w:sz w:val="20"/>
                <w:szCs w:val="20"/>
              </w:rPr>
            </w:pPr>
            <w:r>
              <w:rPr>
                <w:rFonts w:hint="eastAsia"/>
                <w:kern w:val="0"/>
                <w:sz w:val="20"/>
                <w:szCs w:val="20"/>
              </w:rPr>
              <w:t>0</w:t>
            </w:r>
            <w:r w:rsidR="000D7E52" w:rsidRPr="00C931E8">
              <w:rPr>
                <w:kern w:val="0"/>
                <w:sz w:val="20"/>
                <w:szCs w:val="20"/>
              </w:rPr>
              <w:t>-5</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8 </w:t>
            </w:r>
            <w:r w:rsidRPr="00C931E8">
              <w:rPr>
                <w:rFonts w:ascii="宋体" w:hAnsi="宋体" w:hint="eastAsia"/>
                <w:kern w:val="0"/>
                <w:sz w:val="20"/>
                <w:szCs w:val="20"/>
              </w:rPr>
              <w:t>产品结构和投资策略评价</w:t>
            </w:r>
          </w:p>
        </w:tc>
        <w:tc>
          <w:tcPr>
            <w:tcW w:w="1867" w:type="pct"/>
            <w:gridSpan w:val="5"/>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有杠杆</w:t>
            </w:r>
          </w:p>
        </w:tc>
        <w:tc>
          <w:tcPr>
            <w:tcW w:w="1440" w:type="pct"/>
            <w:gridSpan w:val="4"/>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无杠杆</w:t>
            </w: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安全垫</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kern w:val="0"/>
                <w:sz w:val="20"/>
                <w:szCs w:val="20"/>
              </w:rPr>
            </w:pP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有对冲策略</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无对冲策略</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有对冲策略</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无对冲策略</w:t>
            </w:r>
          </w:p>
        </w:tc>
        <w:tc>
          <w:tcPr>
            <w:tcW w:w="379"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20"/>
                <w:szCs w:val="20"/>
              </w:rPr>
            </w:pPr>
          </w:p>
        </w:tc>
        <w:tc>
          <w:tcPr>
            <w:tcW w:w="378" w:type="pct"/>
            <w:vMerge/>
            <w:tcBorders>
              <w:top w:val="nil"/>
              <w:left w:val="single" w:sz="4" w:space="0" w:color="auto"/>
              <w:bottom w:val="single" w:sz="4" w:space="0" w:color="000000"/>
              <w:right w:val="single" w:sz="4" w:space="0" w:color="auto"/>
            </w:tcBorders>
            <w:vAlign w:val="center"/>
            <w:hideMark/>
          </w:tcPr>
          <w:p w:rsidR="000D7E52" w:rsidRPr="00C931E8" w:rsidRDefault="000D7E52" w:rsidP="000D7E52">
            <w:pPr>
              <w:widowControl/>
              <w:jc w:val="left"/>
              <w:rPr>
                <w:rFonts w:ascii="Times New Roman" w:eastAsia="宋体" w:hAnsi="Times New Roman" w:cs="Times New Roman"/>
                <w:kern w:val="0"/>
                <w:sz w:val="20"/>
                <w:szCs w:val="20"/>
              </w:rPr>
            </w:pP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2</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3</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495"/>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9</w:t>
            </w:r>
            <w:r w:rsidRPr="00C931E8">
              <w:rPr>
                <w:rFonts w:ascii="宋体" w:hAnsi="宋体" w:hint="eastAsia"/>
                <w:kern w:val="0"/>
                <w:sz w:val="20"/>
                <w:szCs w:val="20"/>
              </w:rPr>
              <w:t>现任投资主办管理经验与历史业绩评价</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显著增值型</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普通增值型</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负增值型</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无历史业绩</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5-10</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vAlign w:val="center"/>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51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10 </w:t>
            </w:r>
            <w:r w:rsidRPr="00C931E8">
              <w:rPr>
                <w:rFonts w:ascii="宋体" w:hAnsi="宋体" w:hint="eastAsia"/>
                <w:kern w:val="0"/>
                <w:sz w:val="20"/>
                <w:szCs w:val="20"/>
              </w:rPr>
              <w:t>同类产品过往业绩</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无亏损</w:t>
            </w:r>
            <w:r w:rsidRPr="00C931E8">
              <w:rPr>
                <w:kern w:val="0"/>
                <w:sz w:val="20"/>
                <w:szCs w:val="20"/>
              </w:rPr>
              <w:t>/</w:t>
            </w:r>
            <w:r w:rsidRPr="00C931E8">
              <w:rPr>
                <w:rFonts w:ascii="宋体" w:hAnsi="宋体" w:cs="宋体" w:hint="eastAsia"/>
                <w:kern w:val="0"/>
                <w:sz w:val="20"/>
                <w:szCs w:val="20"/>
              </w:rPr>
              <w:t>无过往业绩</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亏损</w:t>
            </w:r>
            <w:r w:rsidRPr="00C931E8">
              <w:rPr>
                <w:kern w:val="0"/>
                <w:sz w:val="20"/>
                <w:szCs w:val="20"/>
              </w:rPr>
              <w:t>25%</w:t>
            </w:r>
            <w:r w:rsidRPr="00C931E8">
              <w:rPr>
                <w:rFonts w:ascii="宋体" w:hAnsi="宋体" w:cs="宋体" w:hint="eastAsia"/>
                <w:kern w:val="0"/>
                <w:sz w:val="20"/>
                <w:szCs w:val="20"/>
              </w:rPr>
              <w:t>以内</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亏损</w:t>
            </w:r>
            <w:r w:rsidRPr="00C931E8">
              <w:rPr>
                <w:kern w:val="0"/>
                <w:sz w:val="20"/>
                <w:szCs w:val="20"/>
              </w:rPr>
              <w:t>25%-50%</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亏损</w:t>
            </w:r>
            <w:r w:rsidRPr="00C931E8">
              <w:rPr>
                <w:kern w:val="0"/>
                <w:sz w:val="20"/>
                <w:szCs w:val="20"/>
              </w:rPr>
              <w:t>50%</w:t>
            </w:r>
            <w:r w:rsidRPr="00C931E8">
              <w:rPr>
                <w:rFonts w:ascii="宋体" w:hAnsi="宋体" w:cs="宋体" w:hint="eastAsia"/>
                <w:kern w:val="0"/>
                <w:sz w:val="20"/>
                <w:szCs w:val="20"/>
              </w:rPr>
              <w:t>以上</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607"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10</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15</w:t>
            </w:r>
          </w:p>
        </w:tc>
        <w:tc>
          <w:tcPr>
            <w:tcW w:w="379" w:type="pct"/>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lastRenderedPageBreak/>
              <w:t xml:space="preserve">11 </w:t>
            </w:r>
            <w:r w:rsidRPr="00C931E8">
              <w:rPr>
                <w:rFonts w:ascii="宋体" w:hAnsi="宋体" w:hint="eastAsia"/>
                <w:kern w:val="0"/>
                <w:sz w:val="20"/>
                <w:szCs w:val="20"/>
              </w:rPr>
              <w:t>预警线与清盘线评价</w:t>
            </w:r>
          </w:p>
        </w:tc>
        <w:tc>
          <w:tcPr>
            <w:tcW w:w="1867" w:type="pct"/>
            <w:gridSpan w:val="5"/>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预警线</w:t>
            </w:r>
          </w:p>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w:t>
            </w:r>
            <w:r w:rsidRPr="00C931E8">
              <w:rPr>
                <w:kern w:val="0"/>
                <w:sz w:val="20"/>
                <w:szCs w:val="20"/>
              </w:rPr>
              <w:t>5%</w:t>
            </w:r>
            <w:r w:rsidRPr="00C931E8">
              <w:rPr>
                <w:rFonts w:ascii="宋体" w:hAnsi="宋体" w:cs="宋体" w:hint="eastAsia"/>
                <w:kern w:val="0"/>
                <w:sz w:val="20"/>
                <w:szCs w:val="20"/>
              </w:rPr>
              <w:t>以内，</w:t>
            </w:r>
            <w:r w:rsidRPr="00C931E8">
              <w:rPr>
                <w:kern w:val="0"/>
                <w:sz w:val="20"/>
                <w:szCs w:val="20"/>
              </w:rPr>
              <w:t>5%-10%</w:t>
            </w:r>
            <w:r w:rsidRPr="00C931E8">
              <w:rPr>
                <w:rFonts w:ascii="宋体" w:hAnsi="宋体" w:cs="宋体" w:hint="eastAsia"/>
                <w:kern w:val="0"/>
                <w:sz w:val="20"/>
                <w:szCs w:val="20"/>
              </w:rPr>
              <w:t>，</w:t>
            </w:r>
            <w:r w:rsidRPr="00C931E8">
              <w:rPr>
                <w:kern w:val="0"/>
                <w:sz w:val="20"/>
                <w:szCs w:val="20"/>
              </w:rPr>
              <w:t>10%</w:t>
            </w:r>
            <w:r w:rsidRPr="00C931E8">
              <w:rPr>
                <w:rFonts w:ascii="宋体" w:hAnsi="宋体" w:cs="宋体" w:hint="eastAsia"/>
                <w:kern w:val="0"/>
                <w:sz w:val="20"/>
                <w:szCs w:val="20"/>
              </w:rPr>
              <w:t>以上）</w:t>
            </w:r>
          </w:p>
        </w:tc>
        <w:tc>
          <w:tcPr>
            <w:tcW w:w="1440" w:type="pct"/>
            <w:gridSpan w:val="4"/>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kern w:val="0"/>
                <w:sz w:val="20"/>
                <w:szCs w:val="20"/>
              </w:rPr>
              <w:t xml:space="preserve">　</w:t>
            </w:r>
            <w:r w:rsidRPr="00C931E8">
              <w:rPr>
                <w:rFonts w:ascii="宋体" w:hAnsi="宋体" w:cs="宋体" w:hint="eastAsia"/>
                <w:kern w:val="0"/>
                <w:sz w:val="20"/>
                <w:szCs w:val="20"/>
              </w:rPr>
              <w:t>清盘线</w:t>
            </w:r>
          </w:p>
          <w:p w:rsidR="000D7E52" w:rsidRPr="00C931E8" w:rsidRDefault="000D7E52" w:rsidP="000D7E52">
            <w:pPr>
              <w:rPr>
                <w:kern w:val="0"/>
                <w:sz w:val="20"/>
                <w:szCs w:val="20"/>
              </w:rPr>
            </w:pPr>
            <w:r w:rsidRPr="00C931E8">
              <w:rPr>
                <w:rFonts w:ascii="宋体" w:hAnsi="宋体" w:cs="宋体" w:hint="eastAsia"/>
                <w:kern w:val="0"/>
                <w:sz w:val="20"/>
                <w:szCs w:val="20"/>
              </w:rPr>
              <w:t>（</w:t>
            </w:r>
            <w:r w:rsidRPr="00C931E8">
              <w:rPr>
                <w:kern w:val="0"/>
                <w:sz w:val="20"/>
                <w:szCs w:val="20"/>
              </w:rPr>
              <w:t>5%-10%</w:t>
            </w:r>
            <w:r w:rsidRPr="00C931E8">
              <w:rPr>
                <w:rFonts w:ascii="宋体" w:hAnsi="宋体" w:cs="宋体" w:hint="eastAsia"/>
                <w:kern w:val="0"/>
                <w:sz w:val="20"/>
                <w:szCs w:val="20"/>
              </w:rPr>
              <w:t>，</w:t>
            </w:r>
            <w:r w:rsidRPr="00C931E8">
              <w:rPr>
                <w:kern w:val="0"/>
                <w:sz w:val="20"/>
                <w:szCs w:val="20"/>
              </w:rPr>
              <w:t>10%-15%</w:t>
            </w:r>
            <w:r w:rsidRPr="00C931E8">
              <w:rPr>
                <w:rFonts w:ascii="宋体" w:hAnsi="宋体" w:cs="宋体" w:hint="eastAsia"/>
                <w:kern w:val="0"/>
                <w:sz w:val="20"/>
                <w:szCs w:val="20"/>
              </w:rPr>
              <w:t>，</w:t>
            </w:r>
            <w:r w:rsidRPr="00C931E8">
              <w:rPr>
                <w:kern w:val="0"/>
                <w:sz w:val="20"/>
                <w:szCs w:val="20"/>
              </w:rPr>
              <w:t>15%</w:t>
            </w:r>
            <w:r w:rsidRPr="00C931E8">
              <w:rPr>
                <w:rFonts w:ascii="宋体" w:hAnsi="宋体" w:cs="宋体" w:hint="eastAsia"/>
                <w:kern w:val="0"/>
                <w:sz w:val="20"/>
                <w:szCs w:val="20"/>
              </w:rPr>
              <w:t>以上）</w:t>
            </w:r>
          </w:p>
          <w:p w:rsidR="000D7E52" w:rsidRPr="00C931E8" w:rsidRDefault="000D7E52" w:rsidP="000D7E52">
            <w:pPr>
              <w:rPr>
                <w:kern w:val="0"/>
                <w:sz w:val="20"/>
                <w:szCs w:val="20"/>
              </w:rPr>
            </w:pPr>
            <w:r w:rsidRPr="00C931E8">
              <w:rPr>
                <w:kern w:val="0"/>
                <w:sz w:val="20"/>
                <w:szCs w:val="20"/>
              </w:rPr>
              <w:t xml:space="preserve">　</w:t>
            </w:r>
          </w:p>
        </w:tc>
        <w:tc>
          <w:tcPr>
            <w:tcW w:w="379" w:type="pct"/>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1867" w:type="pct"/>
            <w:gridSpan w:val="5"/>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0-10</w:t>
            </w:r>
          </w:p>
        </w:tc>
        <w:tc>
          <w:tcPr>
            <w:tcW w:w="1440" w:type="pct"/>
            <w:gridSpan w:val="4"/>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r w:rsidRPr="00C931E8">
              <w:rPr>
                <w:kern w:val="0"/>
                <w:sz w:val="20"/>
                <w:szCs w:val="20"/>
              </w:rPr>
              <w:t>0-10</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495"/>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12 </w:t>
            </w:r>
            <w:r w:rsidRPr="00C931E8">
              <w:rPr>
                <w:rFonts w:ascii="宋体" w:hAnsi="宋体" w:hint="eastAsia"/>
                <w:kern w:val="0"/>
                <w:sz w:val="20"/>
                <w:szCs w:val="20"/>
              </w:rPr>
              <w:t>有无自有资金承担风险补偿</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有</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无</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0</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5</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kern w:val="0"/>
                <w:sz w:val="20"/>
                <w:szCs w:val="20"/>
              </w:rPr>
            </w:pPr>
            <w:r w:rsidRPr="00C931E8">
              <w:rPr>
                <w:kern w:val="0"/>
                <w:sz w:val="20"/>
                <w:szCs w:val="20"/>
              </w:rPr>
              <w:t xml:space="preserve">13 </w:t>
            </w:r>
            <w:r w:rsidRPr="00C931E8">
              <w:rPr>
                <w:rFonts w:ascii="宋体" w:hAnsi="宋体" w:hint="eastAsia"/>
                <w:kern w:val="0"/>
                <w:sz w:val="20"/>
                <w:szCs w:val="20"/>
              </w:rPr>
              <w:t>其他因素</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E52" w:rsidRPr="00C931E8" w:rsidRDefault="000D7E52" w:rsidP="000D7E52">
            <w:pPr>
              <w:rPr>
                <w:rFonts w:ascii="宋体" w:hAnsi="宋体" w:cs="宋体"/>
                <w:kern w:val="0"/>
                <w:sz w:val="20"/>
                <w:szCs w:val="20"/>
              </w:rPr>
            </w:pPr>
            <w:r w:rsidRPr="00C931E8">
              <w:rPr>
                <w:rFonts w:ascii="宋体" w:hAnsi="宋体" w:cs="宋体" w:hint="eastAsia"/>
                <w:kern w:val="0"/>
                <w:sz w:val="20"/>
                <w:szCs w:val="20"/>
              </w:rPr>
              <w:t>评分标准</w:t>
            </w:r>
          </w:p>
        </w:tc>
        <w:tc>
          <w:tcPr>
            <w:tcW w:w="845"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1022" w:type="pct"/>
            <w:gridSpan w:val="3"/>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607" w:type="pct"/>
            <w:gridSpan w:val="2"/>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833" w:type="pct"/>
            <w:gridSpan w:val="2"/>
            <w:tcBorders>
              <w:top w:val="single" w:sz="4" w:space="0" w:color="auto"/>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9" w:type="pct"/>
            <w:tcBorders>
              <w:top w:val="nil"/>
              <w:left w:val="nil"/>
              <w:bottom w:val="single" w:sz="4" w:space="0" w:color="auto"/>
              <w:right w:val="single" w:sz="4" w:space="0" w:color="auto"/>
            </w:tcBorders>
            <w:shd w:val="clear" w:color="auto" w:fill="auto"/>
            <w:hideMark/>
          </w:tcPr>
          <w:p w:rsidR="000D7E52" w:rsidRPr="00C931E8" w:rsidRDefault="000D7E52" w:rsidP="000D7E52">
            <w:pPr>
              <w:rPr>
                <w:kern w:val="0"/>
                <w:sz w:val="20"/>
                <w:szCs w:val="20"/>
              </w:rPr>
            </w:pPr>
            <w:r w:rsidRPr="00C931E8">
              <w:rPr>
                <w:kern w:val="0"/>
                <w:sz w:val="20"/>
                <w:szCs w:val="20"/>
              </w:rPr>
              <w:t xml:space="preserve">　</w:t>
            </w:r>
          </w:p>
        </w:tc>
        <w:tc>
          <w:tcPr>
            <w:tcW w:w="378" w:type="pct"/>
            <w:tcBorders>
              <w:top w:val="nil"/>
              <w:left w:val="nil"/>
              <w:bottom w:val="single" w:sz="4" w:space="0" w:color="auto"/>
              <w:right w:val="single" w:sz="4" w:space="0" w:color="auto"/>
            </w:tcBorders>
            <w:shd w:val="clear" w:color="auto" w:fill="auto"/>
            <w:hideMark/>
          </w:tcPr>
          <w:p w:rsidR="000D7E52" w:rsidRPr="00C931E8" w:rsidRDefault="000D7E52" w:rsidP="000D7E52">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0D7E52" w:rsidRPr="00C931E8" w:rsidTr="000D7E52">
        <w:trPr>
          <w:trHeight w:val="270"/>
        </w:trPr>
        <w:tc>
          <w:tcPr>
            <w:tcW w:w="936" w:type="pct"/>
            <w:gridSpan w:val="2"/>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综合风险评价</w:t>
            </w:r>
          </w:p>
        </w:tc>
        <w:tc>
          <w:tcPr>
            <w:tcW w:w="845" w:type="pct"/>
            <w:gridSpan w:val="2"/>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评价标准</w:t>
            </w:r>
          </w:p>
        </w:tc>
        <w:tc>
          <w:tcPr>
            <w:tcW w:w="1629" w:type="pct"/>
            <w:gridSpan w:val="5"/>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高风险等级（R5)</w:t>
            </w:r>
          </w:p>
        </w:tc>
        <w:tc>
          <w:tcPr>
            <w:tcW w:w="833"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356590" w:rsidRDefault="000D7E52" w:rsidP="00090688">
            <w:pPr>
              <w:rPr>
                <w:rFonts w:ascii="宋体" w:hAnsi="宋体" w:cs="宋体"/>
                <w:b/>
                <w:kern w:val="0"/>
                <w:sz w:val="18"/>
                <w:szCs w:val="18"/>
              </w:rPr>
            </w:pPr>
            <w:r w:rsidRPr="00356590">
              <w:rPr>
                <w:rFonts w:ascii="宋体" w:hAnsi="宋体" w:cs="宋体" w:hint="eastAsia"/>
                <w:b/>
                <w:kern w:val="0"/>
                <w:sz w:val="18"/>
                <w:szCs w:val="18"/>
              </w:rPr>
              <w:t>分值</w:t>
            </w:r>
            <w:r w:rsidRPr="00356590">
              <w:rPr>
                <w:rFonts w:ascii="仿宋_GB2312" w:eastAsia="仿宋_GB2312" w:hAnsi="宋体" w:cs="宋体" w:hint="eastAsia"/>
                <w:b/>
                <w:kern w:val="0"/>
                <w:sz w:val="18"/>
                <w:szCs w:val="18"/>
              </w:rPr>
              <w:t>8</w:t>
            </w:r>
            <w:r w:rsidR="00090688" w:rsidRPr="00356590">
              <w:rPr>
                <w:rFonts w:ascii="仿宋_GB2312" w:eastAsia="仿宋_GB2312" w:hAnsi="宋体" w:cs="宋体" w:hint="eastAsia"/>
                <w:b/>
                <w:kern w:val="0"/>
                <w:sz w:val="18"/>
                <w:szCs w:val="18"/>
              </w:rPr>
              <w:t>5</w:t>
            </w:r>
            <w:r w:rsidRPr="00356590">
              <w:rPr>
                <w:rFonts w:ascii="宋体" w:hAnsi="宋体" w:cs="宋体" w:hint="eastAsia"/>
                <w:b/>
                <w:kern w:val="0"/>
                <w:sz w:val="18"/>
                <w:szCs w:val="18"/>
              </w:rPr>
              <w:t>分（含）以上</w:t>
            </w:r>
          </w:p>
        </w:tc>
        <w:tc>
          <w:tcPr>
            <w:tcW w:w="379" w:type="pct"/>
            <w:tcBorders>
              <w:top w:val="nil"/>
              <w:left w:val="nil"/>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78" w:type="pct"/>
            <w:tcBorders>
              <w:top w:val="nil"/>
              <w:left w:val="nil"/>
              <w:bottom w:val="single" w:sz="4" w:space="0" w:color="auto"/>
              <w:right w:val="single" w:sz="4" w:space="0" w:color="auto"/>
            </w:tcBorders>
            <w:shd w:val="clear" w:color="000000" w:fill="95B3D7"/>
            <w:hideMark/>
          </w:tcPr>
          <w:p w:rsidR="000D7E52" w:rsidRPr="00C931E8" w:rsidRDefault="000D7E52" w:rsidP="000D7E52">
            <w:pPr>
              <w:widowControl/>
              <w:jc w:val="center"/>
              <w:rPr>
                <w:rFonts w:ascii="Times New Roman" w:eastAsia="宋体" w:hAnsi="Times New Roman" w:cs="Times New Roman"/>
                <w:kern w:val="0"/>
                <w:szCs w:val="21"/>
              </w:rPr>
            </w:pPr>
            <w:r w:rsidRPr="00C931E8">
              <w:rPr>
                <w:rFonts w:ascii="Times New Roman" w:eastAsia="宋体" w:hAnsi="Times New Roman" w:cs="Times New Roman"/>
                <w:kern w:val="0"/>
                <w:szCs w:val="21"/>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1629" w:type="pct"/>
            <w:gridSpan w:val="5"/>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较高风险等级（R4)</w:t>
            </w:r>
          </w:p>
        </w:tc>
        <w:tc>
          <w:tcPr>
            <w:tcW w:w="833"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356590" w:rsidRDefault="000D7E52" w:rsidP="00090688">
            <w:pPr>
              <w:rPr>
                <w:rFonts w:ascii="宋体" w:hAnsi="宋体" w:cs="宋体"/>
                <w:b/>
                <w:kern w:val="0"/>
                <w:sz w:val="18"/>
                <w:szCs w:val="18"/>
              </w:rPr>
            </w:pPr>
            <w:r w:rsidRPr="00356590">
              <w:rPr>
                <w:rFonts w:ascii="宋体" w:hAnsi="宋体" w:cs="宋体" w:hint="eastAsia"/>
                <w:b/>
                <w:kern w:val="0"/>
                <w:sz w:val="18"/>
                <w:szCs w:val="18"/>
              </w:rPr>
              <w:t>分值</w:t>
            </w:r>
            <w:r w:rsidR="00090688" w:rsidRPr="00356590">
              <w:rPr>
                <w:rFonts w:ascii="仿宋_GB2312" w:eastAsia="仿宋_GB2312" w:hAnsi="宋体" w:cs="宋体" w:hint="eastAsia"/>
                <w:b/>
                <w:kern w:val="0"/>
                <w:sz w:val="18"/>
                <w:szCs w:val="18"/>
              </w:rPr>
              <w:t>70</w:t>
            </w:r>
            <w:r w:rsidRPr="00356590">
              <w:rPr>
                <w:rFonts w:ascii="宋体" w:hAnsi="宋体" w:cs="宋体" w:hint="eastAsia"/>
                <w:b/>
                <w:kern w:val="0"/>
                <w:sz w:val="18"/>
                <w:szCs w:val="18"/>
              </w:rPr>
              <w:t>分（含）－</w:t>
            </w:r>
            <w:r w:rsidRPr="00356590">
              <w:rPr>
                <w:rFonts w:ascii="仿宋_GB2312" w:eastAsia="仿宋_GB2312" w:hAnsi="宋体" w:cs="宋体" w:hint="eastAsia"/>
                <w:b/>
                <w:kern w:val="0"/>
                <w:sz w:val="18"/>
                <w:szCs w:val="18"/>
              </w:rPr>
              <w:t>8</w:t>
            </w:r>
            <w:r w:rsidR="00090688" w:rsidRPr="00356590">
              <w:rPr>
                <w:rFonts w:ascii="仿宋_GB2312" w:eastAsia="仿宋_GB2312" w:hAnsi="宋体" w:cs="宋体" w:hint="eastAsia"/>
                <w:b/>
                <w:kern w:val="0"/>
                <w:sz w:val="18"/>
                <w:szCs w:val="18"/>
              </w:rPr>
              <w:t>5</w:t>
            </w:r>
            <w:r w:rsidRPr="00356590">
              <w:rPr>
                <w:rFonts w:ascii="宋体" w:hAnsi="宋体" w:cs="宋体" w:hint="eastAsia"/>
                <w:b/>
                <w:kern w:val="0"/>
                <w:sz w:val="18"/>
                <w:szCs w:val="18"/>
              </w:rPr>
              <w:t>分</w:t>
            </w:r>
          </w:p>
        </w:tc>
        <w:tc>
          <w:tcPr>
            <w:tcW w:w="379" w:type="pct"/>
            <w:tcBorders>
              <w:top w:val="nil"/>
              <w:left w:val="nil"/>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78" w:type="pct"/>
            <w:tcBorders>
              <w:top w:val="nil"/>
              <w:left w:val="nil"/>
              <w:bottom w:val="single" w:sz="4" w:space="0" w:color="auto"/>
              <w:right w:val="single" w:sz="4" w:space="0" w:color="auto"/>
            </w:tcBorders>
            <w:shd w:val="clear" w:color="000000" w:fill="95B3D7"/>
            <w:hideMark/>
          </w:tcPr>
          <w:p w:rsidR="000D7E52" w:rsidRPr="00C931E8" w:rsidRDefault="000D7E52" w:rsidP="000D7E52">
            <w:pPr>
              <w:widowControl/>
              <w:jc w:val="center"/>
              <w:rPr>
                <w:rFonts w:ascii="Times New Roman" w:eastAsia="宋体" w:hAnsi="Times New Roman" w:cs="Times New Roman"/>
                <w:kern w:val="0"/>
                <w:szCs w:val="21"/>
              </w:rPr>
            </w:pPr>
            <w:r w:rsidRPr="00C931E8">
              <w:rPr>
                <w:rFonts w:ascii="Times New Roman" w:eastAsia="宋体" w:hAnsi="Times New Roman" w:cs="Times New Roman"/>
                <w:kern w:val="0"/>
                <w:szCs w:val="21"/>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1629" w:type="pct"/>
            <w:gridSpan w:val="5"/>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中风险等级（R3)</w:t>
            </w:r>
          </w:p>
        </w:tc>
        <w:tc>
          <w:tcPr>
            <w:tcW w:w="833"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356590" w:rsidRDefault="000D7E52" w:rsidP="00090688">
            <w:pPr>
              <w:rPr>
                <w:rFonts w:ascii="宋体" w:hAnsi="宋体" w:cs="宋体"/>
                <w:b/>
                <w:kern w:val="0"/>
                <w:sz w:val="18"/>
                <w:szCs w:val="18"/>
              </w:rPr>
            </w:pPr>
            <w:r w:rsidRPr="00356590">
              <w:rPr>
                <w:rFonts w:ascii="宋体" w:hAnsi="宋体" w:cs="宋体" w:hint="eastAsia"/>
                <w:b/>
                <w:kern w:val="0"/>
                <w:sz w:val="18"/>
                <w:szCs w:val="18"/>
              </w:rPr>
              <w:t>分值</w:t>
            </w:r>
            <w:r w:rsidRPr="00356590">
              <w:rPr>
                <w:rFonts w:ascii="仿宋_GB2312" w:eastAsia="仿宋_GB2312" w:hAnsi="宋体" w:cs="宋体" w:hint="eastAsia"/>
                <w:b/>
                <w:kern w:val="0"/>
                <w:sz w:val="18"/>
                <w:szCs w:val="18"/>
              </w:rPr>
              <w:t>50</w:t>
            </w:r>
            <w:r w:rsidRPr="00356590">
              <w:rPr>
                <w:rFonts w:ascii="宋体" w:hAnsi="宋体" w:cs="宋体" w:hint="eastAsia"/>
                <w:b/>
                <w:kern w:val="0"/>
                <w:sz w:val="18"/>
                <w:szCs w:val="18"/>
              </w:rPr>
              <w:t>分（含）－</w:t>
            </w:r>
            <w:r w:rsidR="00090688" w:rsidRPr="00356590">
              <w:rPr>
                <w:rFonts w:ascii="仿宋_GB2312" w:eastAsia="仿宋_GB2312" w:hAnsi="宋体" w:cs="宋体" w:hint="eastAsia"/>
                <w:b/>
                <w:kern w:val="0"/>
                <w:sz w:val="18"/>
                <w:szCs w:val="18"/>
              </w:rPr>
              <w:t>70</w:t>
            </w:r>
            <w:r w:rsidRPr="00356590">
              <w:rPr>
                <w:rFonts w:ascii="宋体" w:hAnsi="宋体" w:cs="宋体" w:hint="eastAsia"/>
                <w:b/>
                <w:kern w:val="0"/>
                <w:sz w:val="18"/>
                <w:szCs w:val="18"/>
              </w:rPr>
              <w:t>分</w:t>
            </w:r>
          </w:p>
        </w:tc>
        <w:tc>
          <w:tcPr>
            <w:tcW w:w="379" w:type="pct"/>
            <w:tcBorders>
              <w:top w:val="nil"/>
              <w:left w:val="nil"/>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78" w:type="pct"/>
            <w:tcBorders>
              <w:top w:val="nil"/>
              <w:left w:val="nil"/>
              <w:bottom w:val="single" w:sz="4" w:space="0" w:color="auto"/>
              <w:right w:val="single" w:sz="4" w:space="0" w:color="auto"/>
            </w:tcBorders>
            <w:shd w:val="clear" w:color="000000" w:fill="95B3D7"/>
            <w:hideMark/>
          </w:tcPr>
          <w:p w:rsidR="000D7E52" w:rsidRPr="00C931E8" w:rsidRDefault="000D7E52" w:rsidP="000D7E52">
            <w:pPr>
              <w:widowControl/>
              <w:jc w:val="center"/>
              <w:rPr>
                <w:rFonts w:ascii="Times New Roman" w:eastAsia="宋体" w:hAnsi="Times New Roman" w:cs="Times New Roman"/>
                <w:kern w:val="0"/>
                <w:szCs w:val="21"/>
              </w:rPr>
            </w:pPr>
            <w:r w:rsidRPr="00C931E8">
              <w:rPr>
                <w:rFonts w:ascii="Times New Roman" w:eastAsia="宋体" w:hAnsi="Times New Roman" w:cs="Times New Roman"/>
                <w:kern w:val="0"/>
                <w:szCs w:val="21"/>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1629" w:type="pct"/>
            <w:gridSpan w:val="5"/>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较低风险等级（R2)</w:t>
            </w:r>
          </w:p>
        </w:tc>
        <w:tc>
          <w:tcPr>
            <w:tcW w:w="833"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分值</w:t>
            </w:r>
            <w:r w:rsidRPr="00C931E8">
              <w:rPr>
                <w:rFonts w:ascii="仿宋_GB2312" w:eastAsia="仿宋_GB2312" w:hAnsi="宋体" w:cs="宋体" w:hint="eastAsia"/>
                <w:b/>
                <w:kern w:val="0"/>
                <w:sz w:val="18"/>
                <w:szCs w:val="18"/>
              </w:rPr>
              <w:t>35</w:t>
            </w:r>
            <w:r w:rsidRPr="00C931E8">
              <w:rPr>
                <w:rFonts w:ascii="宋体" w:hAnsi="宋体" w:cs="宋体" w:hint="eastAsia"/>
                <w:b/>
                <w:kern w:val="0"/>
                <w:sz w:val="18"/>
                <w:szCs w:val="18"/>
              </w:rPr>
              <w:t>分（含）－</w:t>
            </w:r>
            <w:r w:rsidRPr="00C931E8">
              <w:rPr>
                <w:rFonts w:ascii="仿宋_GB2312" w:eastAsia="仿宋_GB2312" w:hAnsi="宋体" w:cs="宋体" w:hint="eastAsia"/>
                <w:b/>
                <w:kern w:val="0"/>
                <w:sz w:val="18"/>
                <w:szCs w:val="18"/>
              </w:rPr>
              <w:t>50</w:t>
            </w:r>
            <w:r w:rsidRPr="00C931E8">
              <w:rPr>
                <w:rFonts w:ascii="宋体" w:hAnsi="宋体" w:cs="宋体" w:hint="eastAsia"/>
                <w:b/>
                <w:kern w:val="0"/>
                <w:sz w:val="18"/>
                <w:szCs w:val="18"/>
              </w:rPr>
              <w:t>分</w:t>
            </w:r>
          </w:p>
        </w:tc>
        <w:tc>
          <w:tcPr>
            <w:tcW w:w="379" w:type="pct"/>
            <w:tcBorders>
              <w:top w:val="nil"/>
              <w:left w:val="nil"/>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78" w:type="pct"/>
            <w:tcBorders>
              <w:top w:val="nil"/>
              <w:left w:val="nil"/>
              <w:bottom w:val="single" w:sz="4" w:space="0" w:color="auto"/>
              <w:right w:val="single" w:sz="4" w:space="0" w:color="auto"/>
            </w:tcBorders>
            <w:shd w:val="clear" w:color="000000" w:fill="95B3D7"/>
            <w:hideMark/>
          </w:tcPr>
          <w:p w:rsidR="000D7E52" w:rsidRPr="00C931E8" w:rsidRDefault="000D7E52" w:rsidP="000D7E52">
            <w:pPr>
              <w:widowControl/>
              <w:jc w:val="center"/>
              <w:rPr>
                <w:rFonts w:ascii="Times New Roman" w:eastAsia="宋体" w:hAnsi="Times New Roman" w:cs="Times New Roman"/>
                <w:kern w:val="0"/>
                <w:szCs w:val="21"/>
              </w:rPr>
            </w:pPr>
            <w:r w:rsidRPr="00C931E8">
              <w:rPr>
                <w:rFonts w:ascii="Times New Roman" w:eastAsia="宋体" w:hAnsi="Times New Roman" w:cs="Times New Roman"/>
                <w:kern w:val="0"/>
                <w:szCs w:val="21"/>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845"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b/>
                <w:kern w:val="0"/>
                <w:sz w:val="18"/>
                <w:szCs w:val="18"/>
              </w:rPr>
            </w:pPr>
          </w:p>
        </w:tc>
        <w:tc>
          <w:tcPr>
            <w:tcW w:w="1629" w:type="pct"/>
            <w:gridSpan w:val="5"/>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低风险等级（R1)</w:t>
            </w:r>
          </w:p>
        </w:tc>
        <w:tc>
          <w:tcPr>
            <w:tcW w:w="833"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分值</w:t>
            </w:r>
            <w:r w:rsidRPr="00C931E8">
              <w:rPr>
                <w:rFonts w:ascii="仿宋_GB2312" w:eastAsia="仿宋_GB2312" w:hAnsi="宋体" w:cs="宋体" w:hint="eastAsia"/>
                <w:b/>
                <w:kern w:val="0"/>
                <w:sz w:val="18"/>
                <w:szCs w:val="18"/>
              </w:rPr>
              <w:t>35</w:t>
            </w:r>
            <w:r w:rsidRPr="00C931E8">
              <w:rPr>
                <w:rFonts w:ascii="宋体" w:hAnsi="宋体" w:cs="宋体" w:hint="eastAsia"/>
                <w:b/>
                <w:kern w:val="0"/>
                <w:sz w:val="18"/>
                <w:szCs w:val="18"/>
              </w:rPr>
              <w:t>分以下</w:t>
            </w:r>
          </w:p>
        </w:tc>
        <w:tc>
          <w:tcPr>
            <w:tcW w:w="379" w:type="pct"/>
            <w:tcBorders>
              <w:top w:val="nil"/>
              <w:left w:val="nil"/>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78" w:type="pct"/>
            <w:tcBorders>
              <w:top w:val="nil"/>
              <w:left w:val="nil"/>
              <w:bottom w:val="single" w:sz="4" w:space="0" w:color="auto"/>
              <w:right w:val="single" w:sz="4" w:space="0" w:color="auto"/>
            </w:tcBorders>
            <w:shd w:val="clear" w:color="000000" w:fill="95B3D7"/>
            <w:hideMark/>
          </w:tcPr>
          <w:p w:rsidR="000D7E52" w:rsidRPr="00C931E8" w:rsidRDefault="000D7E52" w:rsidP="000D7E52">
            <w:pPr>
              <w:widowControl/>
              <w:jc w:val="center"/>
              <w:rPr>
                <w:rFonts w:ascii="Times New Roman" w:eastAsia="宋体" w:hAnsi="Times New Roman" w:cs="Times New Roman"/>
                <w:kern w:val="0"/>
                <w:szCs w:val="21"/>
              </w:rPr>
            </w:pPr>
            <w:r w:rsidRPr="00C931E8">
              <w:rPr>
                <w:rFonts w:ascii="Times New Roman" w:eastAsia="宋体" w:hAnsi="Times New Roman" w:cs="Times New Roman"/>
                <w:kern w:val="0"/>
                <w:szCs w:val="21"/>
              </w:rPr>
              <w:t xml:space="preserve">　</w:t>
            </w:r>
          </w:p>
        </w:tc>
      </w:tr>
      <w:tr w:rsidR="000D7E52" w:rsidRPr="00C931E8" w:rsidTr="000D7E52">
        <w:trPr>
          <w:trHeight w:val="270"/>
        </w:trPr>
        <w:tc>
          <w:tcPr>
            <w:tcW w:w="936" w:type="pct"/>
            <w:gridSpan w:val="2"/>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rFonts w:ascii="宋体" w:hAnsi="宋体" w:cs="宋体"/>
                <w:kern w:val="0"/>
                <w:sz w:val="18"/>
                <w:szCs w:val="18"/>
              </w:rPr>
            </w:pPr>
          </w:p>
        </w:tc>
        <w:tc>
          <w:tcPr>
            <w:tcW w:w="845" w:type="pct"/>
            <w:gridSpan w:val="2"/>
            <w:tcBorders>
              <w:top w:val="single" w:sz="4" w:space="0" w:color="auto"/>
              <w:left w:val="nil"/>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产品总分</w:t>
            </w:r>
          </w:p>
        </w:tc>
        <w:tc>
          <w:tcPr>
            <w:tcW w:w="3219" w:type="pct"/>
            <w:gridSpan w:val="9"/>
            <w:tcBorders>
              <w:top w:val="single" w:sz="4" w:space="0" w:color="auto"/>
              <w:left w:val="nil"/>
              <w:bottom w:val="single" w:sz="4" w:space="0" w:color="auto"/>
              <w:right w:val="single" w:sz="4" w:space="0" w:color="000000"/>
            </w:tcBorders>
            <w:shd w:val="clear" w:color="000000" w:fill="95B3D7"/>
            <w:vAlign w:val="center"/>
            <w:hideMark/>
          </w:tcPr>
          <w:p w:rsidR="000D7E52" w:rsidRPr="00C931E8" w:rsidRDefault="000D7E52" w:rsidP="000D7E52">
            <w:pPr>
              <w:rPr>
                <w:rFonts w:ascii="宋体" w:hAnsi="宋体" w:cs="宋体"/>
                <w:b/>
                <w:kern w:val="0"/>
                <w:sz w:val="18"/>
                <w:szCs w:val="18"/>
              </w:rPr>
            </w:pPr>
            <w:r w:rsidRPr="00C931E8">
              <w:rPr>
                <w:rFonts w:ascii="宋体" w:hAnsi="宋体" w:cs="宋体" w:hint="eastAsia"/>
                <w:b/>
                <w:kern w:val="0"/>
                <w:sz w:val="18"/>
                <w:szCs w:val="18"/>
              </w:rPr>
              <w:t xml:space="preserve">　</w:t>
            </w:r>
          </w:p>
        </w:tc>
      </w:tr>
      <w:tr w:rsidR="000D7E52" w:rsidRPr="00C931E8" w:rsidTr="000D7E52">
        <w:trPr>
          <w:trHeight w:val="270"/>
        </w:trPr>
        <w:tc>
          <w:tcPr>
            <w:tcW w:w="516" w:type="pct"/>
            <w:tcBorders>
              <w:top w:val="nil"/>
              <w:left w:val="single" w:sz="4" w:space="0" w:color="auto"/>
              <w:bottom w:val="single" w:sz="4" w:space="0" w:color="auto"/>
              <w:right w:val="single" w:sz="4" w:space="0" w:color="auto"/>
            </w:tcBorders>
            <w:shd w:val="clear" w:color="000000" w:fill="95B3D7"/>
            <w:hideMark/>
          </w:tcPr>
          <w:p w:rsidR="000D7E52" w:rsidRPr="00C931E8" w:rsidRDefault="000D7E52" w:rsidP="000D7E52">
            <w:pPr>
              <w:rPr>
                <w:rFonts w:ascii="仿宋_GB2312" w:eastAsia="仿宋_GB2312" w:hAnsi="宋体" w:cs="宋体"/>
                <w:kern w:val="0"/>
                <w:sz w:val="20"/>
                <w:szCs w:val="20"/>
              </w:rPr>
            </w:pPr>
            <w:r w:rsidRPr="00C931E8">
              <w:rPr>
                <w:rFonts w:ascii="仿宋_GB2312" w:eastAsia="仿宋_GB2312" w:hAnsi="宋体" w:cs="宋体" w:hint="eastAsia"/>
                <w:kern w:val="0"/>
                <w:sz w:val="20"/>
                <w:szCs w:val="20"/>
              </w:rPr>
              <w:t xml:space="preserve">　</w:t>
            </w:r>
          </w:p>
        </w:tc>
        <w:tc>
          <w:tcPr>
            <w:tcW w:w="4484" w:type="pct"/>
            <w:gridSpan w:val="12"/>
            <w:tcBorders>
              <w:top w:val="single" w:sz="4" w:space="0" w:color="auto"/>
              <w:left w:val="nil"/>
              <w:bottom w:val="single" w:sz="4" w:space="0" w:color="auto"/>
              <w:right w:val="single" w:sz="4" w:space="0" w:color="auto"/>
            </w:tcBorders>
            <w:shd w:val="clear" w:color="000000" w:fill="95B3D7"/>
            <w:vAlign w:val="center"/>
            <w:hideMark/>
          </w:tcPr>
          <w:p w:rsidR="000D7E52" w:rsidRPr="00C931E8" w:rsidRDefault="000D7E52" w:rsidP="000D7E52">
            <w:pPr>
              <w:rPr>
                <w:rFonts w:ascii="宋体" w:hAnsi="宋体" w:cs="宋体"/>
                <w:b/>
                <w:bCs/>
                <w:kern w:val="0"/>
                <w:sz w:val="20"/>
                <w:szCs w:val="20"/>
              </w:rPr>
            </w:pPr>
            <w:r w:rsidRPr="00C931E8">
              <w:rPr>
                <w:rFonts w:ascii="宋体" w:hAnsi="宋体" w:cs="宋体" w:hint="eastAsia"/>
                <w:b/>
                <w:bCs/>
                <w:kern w:val="0"/>
                <w:sz w:val="20"/>
                <w:szCs w:val="20"/>
              </w:rPr>
              <w:t>经综合风险评定，该产品为</w:t>
            </w:r>
            <w:r w:rsidRPr="00C931E8">
              <w:rPr>
                <w:rFonts w:ascii="仿宋_GB2312" w:eastAsia="仿宋_GB2312" w:hAnsi="宋体" w:cs="宋体" w:hint="eastAsia"/>
                <w:b/>
                <w:bCs/>
                <w:kern w:val="0"/>
                <w:sz w:val="20"/>
                <w:szCs w:val="20"/>
              </w:rPr>
              <w:t xml:space="preserve">           </w:t>
            </w:r>
            <w:r w:rsidRPr="00C931E8">
              <w:rPr>
                <w:rFonts w:ascii="宋体" w:hAnsi="宋体" w:cs="宋体" w:hint="eastAsia"/>
                <w:b/>
                <w:bCs/>
                <w:kern w:val="0"/>
                <w:sz w:val="20"/>
                <w:szCs w:val="20"/>
              </w:rPr>
              <w:t>风险等级</w:t>
            </w:r>
          </w:p>
        </w:tc>
      </w:tr>
      <w:tr w:rsidR="000D7E52" w:rsidRPr="00C931E8" w:rsidTr="000D7E52">
        <w:trPr>
          <w:trHeight w:val="312"/>
        </w:trPr>
        <w:tc>
          <w:tcPr>
            <w:tcW w:w="936" w:type="pct"/>
            <w:gridSpan w:val="2"/>
            <w:vMerge w:val="restart"/>
            <w:tcBorders>
              <w:top w:val="single" w:sz="4" w:space="0" w:color="auto"/>
              <w:left w:val="single" w:sz="4" w:space="0" w:color="auto"/>
              <w:bottom w:val="single" w:sz="4" w:space="0" w:color="000000"/>
              <w:right w:val="single" w:sz="4" w:space="0" w:color="000000"/>
            </w:tcBorders>
            <w:shd w:val="clear" w:color="000000" w:fill="95B3D7"/>
            <w:hideMark/>
          </w:tcPr>
          <w:p w:rsidR="005F196E" w:rsidRPr="00C931E8" w:rsidRDefault="005F196E" w:rsidP="000D7E52">
            <w:pPr>
              <w:rPr>
                <w:rFonts w:ascii="宋体" w:hAnsi="宋体" w:cs="宋体"/>
                <w:kern w:val="0"/>
                <w:sz w:val="18"/>
                <w:szCs w:val="18"/>
              </w:rPr>
            </w:pPr>
          </w:p>
          <w:p w:rsidR="000D7E52" w:rsidRPr="00C931E8" w:rsidRDefault="000D7E52" w:rsidP="000D7E52">
            <w:pPr>
              <w:rPr>
                <w:rFonts w:ascii="宋体" w:hAnsi="宋体" w:cs="宋体"/>
                <w:kern w:val="0"/>
                <w:sz w:val="18"/>
                <w:szCs w:val="18"/>
              </w:rPr>
            </w:pPr>
            <w:r w:rsidRPr="00C931E8">
              <w:rPr>
                <w:rFonts w:ascii="宋体" w:hAnsi="宋体" w:cs="宋体" w:hint="eastAsia"/>
                <w:kern w:val="0"/>
                <w:sz w:val="18"/>
                <w:szCs w:val="18"/>
              </w:rPr>
              <w:t>评级人员签字：</w:t>
            </w:r>
          </w:p>
        </w:tc>
        <w:tc>
          <w:tcPr>
            <w:tcW w:w="437" w:type="pct"/>
            <w:vMerge w:val="restart"/>
            <w:tcBorders>
              <w:top w:val="nil"/>
              <w:left w:val="single" w:sz="4" w:space="0" w:color="auto"/>
              <w:bottom w:val="single" w:sz="4" w:space="0" w:color="auto"/>
              <w:right w:val="single" w:sz="4" w:space="0" w:color="auto"/>
            </w:tcBorders>
            <w:shd w:val="clear" w:color="000000" w:fill="95B3D7"/>
            <w:hideMark/>
          </w:tcPr>
          <w:p w:rsidR="000D7E52" w:rsidRPr="00C931E8" w:rsidRDefault="000D7E52" w:rsidP="000D7E52">
            <w:pPr>
              <w:rPr>
                <w:kern w:val="0"/>
              </w:rPr>
            </w:pPr>
            <w:r w:rsidRPr="00C931E8">
              <w:rPr>
                <w:kern w:val="0"/>
              </w:rPr>
              <w:t xml:space="preserve">　</w:t>
            </w:r>
          </w:p>
        </w:tc>
        <w:tc>
          <w:tcPr>
            <w:tcW w:w="3626" w:type="pct"/>
            <w:gridSpan w:val="10"/>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D7E52" w:rsidRPr="00C931E8" w:rsidRDefault="000D7E52" w:rsidP="000D7E52">
            <w:pPr>
              <w:rPr>
                <w:kern w:val="0"/>
              </w:rPr>
            </w:pPr>
            <w:r w:rsidRPr="00C931E8">
              <w:rPr>
                <w:kern w:val="0"/>
              </w:rPr>
              <w:t xml:space="preserve">　</w:t>
            </w:r>
          </w:p>
        </w:tc>
      </w:tr>
      <w:tr w:rsidR="000D7E52" w:rsidRPr="00C931E8" w:rsidTr="000D7E52">
        <w:trPr>
          <w:trHeight w:val="312"/>
        </w:trPr>
        <w:tc>
          <w:tcPr>
            <w:tcW w:w="936" w:type="pct"/>
            <w:gridSpan w:val="2"/>
            <w:vMerge/>
            <w:tcBorders>
              <w:top w:val="single" w:sz="4" w:space="0" w:color="auto"/>
              <w:left w:val="single" w:sz="4" w:space="0" w:color="auto"/>
              <w:bottom w:val="single" w:sz="4" w:space="0" w:color="000000"/>
              <w:right w:val="single" w:sz="4" w:space="0" w:color="000000"/>
            </w:tcBorders>
            <w:vAlign w:val="center"/>
            <w:hideMark/>
          </w:tcPr>
          <w:p w:rsidR="000D7E52" w:rsidRPr="00C931E8" w:rsidRDefault="000D7E52" w:rsidP="000D7E52">
            <w:pPr>
              <w:rPr>
                <w:rFonts w:ascii="宋体" w:hAnsi="宋体" w:cs="宋体"/>
                <w:kern w:val="0"/>
                <w:sz w:val="18"/>
                <w:szCs w:val="18"/>
              </w:rPr>
            </w:pPr>
          </w:p>
        </w:tc>
        <w:tc>
          <w:tcPr>
            <w:tcW w:w="437"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kern w:val="0"/>
              </w:rPr>
            </w:pPr>
          </w:p>
        </w:tc>
        <w:tc>
          <w:tcPr>
            <w:tcW w:w="3626" w:type="pct"/>
            <w:gridSpan w:val="10"/>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kern w:val="0"/>
              </w:rPr>
            </w:pPr>
          </w:p>
        </w:tc>
      </w:tr>
      <w:tr w:rsidR="000D7E52" w:rsidRPr="00C931E8" w:rsidTr="000D7E52">
        <w:trPr>
          <w:trHeight w:val="312"/>
        </w:trPr>
        <w:tc>
          <w:tcPr>
            <w:tcW w:w="936" w:type="pct"/>
            <w:gridSpan w:val="2"/>
            <w:vMerge/>
            <w:tcBorders>
              <w:top w:val="single" w:sz="4" w:space="0" w:color="auto"/>
              <w:left w:val="single" w:sz="4" w:space="0" w:color="auto"/>
              <w:bottom w:val="single" w:sz="4" w:space="0" w:color="000000"/>
              <w:right w:val="single" w:sz="4" w:space="0" w:color="000000"/>
            </w:tcBorders>
            <w:vAlign w:val="center"/>
            <w:hideMark/>
          </w:tcPr>
          <w:p w:rsidR="000D7E52" w:rsidRPr="00C931E8" w:rsidRDefault="000D7E52" w:rsidP="000D7E52">
            <w:pPr>
              <w:rPr>
                <w:rFonts w:ascii="宋体" w:hAnsi="宋体" w:cs="宋体"/>
                <w:kern w:val="0"/>
                <w:sz w:val="18"/>
                <w:szCs w:val="18"/>
              </w:rPr>
            </w:pPr>
          </w:p>
        </w:tc>
        <w:tc>
          <w:tcPr>
            <w:tcW w:w="437" w:type="pct"/>
            <w:vMerge/>
            <w:tcBorders>
              <w:top w:val="nil"/>
              <w:left w:val="single" w:sz="4" w:space="0" w:color="auto"/>
              <w:bottom w:val="single" w:sz="4" w:space="0" w:color="auto"/>
              <w:right w:val="single" w:sz="4" w:space="0" w:color="auto"/>
            </w:tcBorders>
            <w:vAlign w:val="center"/>
            <w:hideMark/>
          </w:tcPr>
          <w:p w:rsidR="000D7E52" w:rsidRPr="00C931E8" w:rsidRDefault="000D7E52" w:rsidP="000D7E52">
            <w:pPr>
              <w:rPr>
                <w:kern w:val="0"/>
              </w:rPr>
            </w:pPr>
          </w:p>
        </w:tc>
        <w:tc>
          <w:tcPr>
            <w:tcW w:w="3626" w:type="pct"/>
            <w:gridSpan w:val="10"/>
            <w:vMerge/>
            <w:tcBorders>
              <w:top w:val="single" w:sz="4" w:space="0" w:color="auto"/>
              <w:left w:val="single" w:sz="4" w:space="0" w:color="auto"/>
              <w:bottom w:val="single" w:sz="4" w:space="0" w:color="auto"/>
              <w:right w:val="single" w:sz="4" w:space="0" w:color="auto"/>
            </w:tcBorders>
            <w:vAlign w:val="center"/>
            <w:hideMark/>
          </w:tcPr>
          <w:p w:rsidR="000D7E52" w:rsidRPr="00C931E8" w:rsidRDefault="000D7E52" w:rsidP="000D7E52">
            <w:pPr>
              <w:rPr>
                <w:kern w:val="0"/>
              </w:rPr>
            </w:pPr>
          </w:p>
        </w:tc>
      </w:tr>
    </w:tbl>
    <w:p w:rsidR="005D3CD0" w:rsidRPr="00C931E8" w:rsidRDefault="005D3CD0"/>
    <w:p w:rsidR="00E7442B" w:rsidRPr="00C931E8" w:rsidRDefault="00E7442B"/>
    <w:p w:rsidR="00E7442B" w:rsidRPr="00C931E8" w:rsidRDefault="00E7442B" w:rsidP="00E7442B">
      <w:pPr>
        <w:rPr>
          <w:szCs w:val="21"/>
        </w:rPr>
      </w:pPr>
      <w:r w:rsidRPr="00C931E8">
        <w:rPr>
          <w:rFonts w:hint="eastAsia"/>
          <w:szCs w:val="21"/>
        </w:rPr>
        <w:t>备注：根据我司风险承受能力评估问卷打分结果，投资者风险偏好类型与产品登记的匹配关系如下表：</w:t>
      </w:r>
    </w:p>
    <w:p w:rsidR="00E7442B" w:rsidRPr="00C931E8" w:rsidRDefault="00E7442B" w:rsidP="00E7442B">
      <w:pPr>
        <w:rPr>
          <w:szCs w:val="21"/>
        </w:rPr>
      </w:pP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087"/>
        <w:gridCol w:w="1426"/>
        <w:gridCol w:w="1557"/>
        <w:gridCol w:w="1734"/>
        <w:gridCol w:w="1867"/>
      </w:tblGrid>
      <w:tr w:rsidR="00E7442B" w:rsidRPr="00C931E8" w:rsidTr="000D7E52">
        <w:trPr>
          <w:trHeight w:val="459"/>
        </w:trPr>
        <w:tc>
          <w:tcPr>
            <w:tcW w:w="911"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Calibri" w:eastAsia="宋体" w:hAnsi="Calibri" w:cs="Times New Roman" w:hint="eastAsia"/>
                <w:szCs w:val="21"/>
              </w:rPr>
              <w:t>风险偏好类型</w:t>
            </w:r>
          </w:p>
        </w:tc>
        <w:tc>
          <w:tcPr>
            <w:tcW w:w="579"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保守型</w:t>
            </w:r>
          </w:p>
        </w:tc>
        <w:tc>
          <w:tcPr>
            <w:tcW w:w="76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稳健型</w:t>
            </w:r>
          </w:p>
        </w:tc>
        <w:tc>
          <w:tcPr>
            <w:tcW w:w="83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平衡型</w:t>
            </w:r>
          </w:p>
        </w:tc>
        <w:tc>
          <w:tcPr>
            <w:tcW w:w="924"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成长型</w:t>
            </w:r>
          </w:p>
        </w:tc>
        <w:tc>
          <w:tcPr>
            <w:tcW w:w="995"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积极型</w:t>
            </w:r>
          </w:p>
        </w:tc>
      </w:tr>
      <w:tr w:rsidR="00E7442B" w:rsidRPr="00C931E8" w:rsidTr="000D7E52">
        <w:trPr>
          <w:trHeight w:val="451"/>
        </w:trPr>
        <w:tc>
          <w:tcPr>
            <w:tcW w:w="911"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Calibri" w:eastAsia="宋体" w:hAnsi="Calibri" w:cs="Times New Roman" w:hint="eastAsia"/>
                <w:szCs w:val="21"/>
              </w:rPr>
              <w:t>匹配的产品</w:t>
            </w:r>
          </w:p>
        </w:tc>
        <w:tc>
          <w:tcPr>
            <w:tcW w:w="579"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低风险等级产品</w:t>
            </w:r>
          </w:p>
        </w:tc>
        <w:tc>
          <w:tcPr>
            <w:tcW w:w="76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较低风险</w:t>
            </w:r>
            <w:r w:rsidRPr="00C931E8">
              <w:rPr>
                <w:rFonts w:ascii="宋体" w:hAnsi="宋体" w:cs="宋体"/>
                <w:kern w:val="0"/>
                <w:szCs w:val="21"/>
              </w:rPr>
              <w:t>/低风险等级产品</w:t>
            </w:r>
          </w:p>
        </w:tc>
        <w:tc>
          <w:tcPr>
            <w:tcW w:w="83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中风险</w:t>
            </w:r>
            <w:r w:rsidRPr="00C931E8">
              <w:rPr>
                <w:rFonts w:ascii="宋体" w:hAnsi="宋体" w:cs="宋体"/>
                <w:kern w:val="0"/>
                <w:szCs w:val="21"/>
              </w:rPr>
              <w:t>/较低风险/低风险等级产品</w:t>
            </w:r>
          </w:p>
        </w:tc>
        <w:tc>
          <w:tcPr>
            <w:tcW w:w="924"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较高风险</w:t>
            </w:r>
            <w:r w:rsidRPr="00C931E8">
              <w:rPr>
                <w:rFonts w:ascii="宋体" w:hAnsi="宋体" w:cs="宋体"/>
                <w:kern w:val="0"/>
                <w:szCs w:val="21"/>
              </w:rPr>
              <w:t>/中风险/较低风险/低风险等级产品</w:t>
            </w:r>
          </w:p>
        </w:tc>
        <w:tc>
          <w:tcPr>
            <w:tcW w:w="995"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高风险</w:t>
            </w:r>
            <w:r w:rsidRPr="00C931E8">
              <w:rPr>
                <w:rFonts w:ascii="宋体" w:hAnsi="宋体" w:cs="宋体"/>
                <w:kern w:val="0"/>
                <w:szCs w:val="21"/>
              </w:rPr>
              <w:t>/较高风险/中风险/较低风险/低风险等级产品</w:t>
            </w:r>
          </w:p>
        </w:tc>
      </w:tr>
    </w:tbl>
    <w:p w:rsidR="00E7442B" w:rsidRPr="00C931E8" w:rsidRDefault="00E7442B" w:rsidP="00E7442B">
      <w:pPr>
        <w:widowControl/>
        <w:rPr>
          <w:szCs w:val="21"/>
        </w:rPr>
      </w:pPr>
    </w:p>
    <w:p w:rsidR="00E7442B" w:rsidRPr="00C931E8" w:rsidRDefault="00E7442B">
      <w:pPr>
        <w:widowControl/>
        <w:jc w:val="left"/>
      </w:pPr>
    </w:p>
    <w:p w:rsidR="00E7442B" w:rsidRPr="00C931E8" w:rsidRDefault="00E7442B">
      <w:pPr>
        <w:widowControl/>
        <w:jc w:val="left"/>
      </w:pPr>
    </w:p>
    <w:p w:rsidR="00E7442B" w:rsidRPr="00C931E8" w:rsidRDefault="00E7442B">
      <w:pPr>
        <w:widowControl/>
        <w:jc w:val="left"/>
      </w:pPr>
    </w:p>
    <w:p w:rsidR="00E7442B" w:rsidRPr="00C931E8" w:rsidRDefault="00E7442B">
      <w:pPr>
        <w:widowControl/>
        <w:jc w:val="left"/>
      </w:pPr>
    </w:p>
    <w:p w:rsidR="00E7442B" w:rsidRDefault="00E7442B">
      <w:pPr>
        <w:widowControl/>
        <w:jc w:val="left"/>
      </w:pPr>
    </w:p>
    <w:p w:rsidR="00BE7E76" w:rsidRPr="00C931E8" w:rsidRDefault="00BE7E76">
      <w:pPr>
        <w:widowControl/>
        <w:jc w:val="left"/>
      </w:pPr>
    </w:p>
    <w:p w:rsidR="000D7E52" w:rsidRPr="00C931E8" w:rsidRDefault="000D7E52">
      <w:pPr>
        <w:widowControl/>
        <w:jc w:val="left"/>
      </w:pPr>
    </w:p>
    <w:p w:rsidR="0024612F" w:rsidRPr="00C931E8" w:rsidRDefault="0024612F">
      <w:pPr>
        <w:widowControl/>
        <w:jc w:val="left"/>
      </w:pPr>
    </w:p>
    <w:p w:rsidR="005D3CD0" w:rsidRPr="00C931E8" w:rsidRDefault="005D3CD0" w:rsidP="005D3CD0">
      <w:pPr>
        <w:widowControl/>
        <w:rPr>
          <w:b/>
          <w:noProof/>
          <w:sz w:val="24"/>
          <w:szCs w:val="24"/>
        </w:rPr>
      </w:pPr>
      <w:r w:rsidRPr="00C931E8">
        <w:rPr>
          <w:rFonts w:hint="eastAsia"/>
          <w:b/>
          <w:noProof/>
          <w:sz w:val="24"/>
          <w:szCs w:val="24"/>
        </w:rPr>
        <w:lastRenderedPageBreak/>
        <w:t>附件二：</w:t>
      </w:r>
    </w:p>
    <w:p w:rsidR="00E7442B" w:rsidRPr="00C931E8" w:rsidRDefault="005D3CD0" w:rsidP="005D3CD0">
      <w:pPr>
        <w:jc w:val="center"/>
        <w:rPr>
          <w:rFonts w:ascii="宋体" w:hAnsi="宋体"/>
          <w:b/>
          <w:sz w:val="24"/>
          <w:szCs w:val="24"/>
        </w:rPr>
      </w:pPr>
      <w:r w:rsidRPr="00C931E8">
        <w:rPr>
          <w:rFonts w:ascii="宋体" w:hAnsi="宋体" w:hint="eastAsia"/>
          <w:b/>
          <w:sz w:val="24"/>
          <w:szCs w:val="24"/>
        </w:rPr>
        <w:t>产品风险等级评估表（非标投资类产品适用）</w:t>
      </w:r>
    </w:p>
    <w:tbl>
      <w:tblPr>
        <w:tblpPr w:leftFromText="180" w:rightFromText="180" w:horzAnchor="margin" w:tblpY="765"/>
        <w:tblW w:w="5386" w:type="pct"/>
        <w:tblLayout w:type="fixed"/>
        <w:tblLook w:val="04A0" w:firstRow="1" w:lastRow="0" w:firstColumn="1" w:lastColumn="0" w:noHBand="0" w:noVBand="1"/>
      </w:tblPr>
      <w:tblGrid>
        <w:gridCol w:w="1871"/>
        <w:gridCol w:w="838"/>
        <w:gridCol w:w="919"/>
        <w:gridCol w:w="838"/>
        <w:gridCol w:w="1146"/>
        <w:gridCol w:w="910"/>
        <w:gridCol w:w="878"/>
        <w:gridCol w:w="1455"/>
        <w:gridCol w:w="583"/>
      </w:tblGrid>
      <w:tr w:rsidR="00E7442B" w:rsidRPr="00C931E8" w:rsidTr="005F196E">
        <w:trPr>
          <w:trHeight w:val="270"/>
        </w:trPr>
        <w:tc>
          <w:tcPr>
            <w:tcW w:w="4691" w:type="pct"/>
            <w:gridSpan w:val="8"/>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rPr>
                <w:rFonts w:ascii="宋体" w:eastAsia="宋体" w:hAnsi="宋体" w:cs="宋体"/>
                <w:kern w:val="0"/>
                <w:szCs w:val="21"/>
              </w:rPr>
            </w:pPr>
            <w:bookmarkStart w:id="1" w:name="RANGE!A1"/>
            <w:r w:rsidRPr="00C931E8">
              <w:rPr>
                <w:rFonts w:ascii="宋体" w:eastAsia="宋体" w:hAnsi="宋体" w:cs="宋体" w:hint="eastAsia"/>
                <w:kern w:val="0"/>
                <w:szCs w:val="21"/>
              </w:rPr>
              <w:t>产品名称及编号：</w:t>
            </w:r>
            <w:r w:rsidRPr="00C931E8">
              <w:rPr>
                <w:rFonts w:ascii="Times New Roman" w:eastAsia="宋体" w:hAnsi="Times New Roman" w:cs="Times New Roman"/>
                <w:kern w:val="0"/>
                <w:szCs w:val="21"/>
              </w:rPr>
              <w:t xml:space="preserve">                                 </w:t>
            </w:r>
            <w:r w:rsidRPr="00C931E8">
              <w:rPr>
                <w:rFonts w:ascii="宋体" w:eastAsia="宋体" w:hAnsi="宋体" w:cs="宋体" w:hint="eastAsia"/>
                <w:kern w:val="0"/>
                <w:szCs w:val="21"/>
              </w:rPr>
              <w:t>专项资产管理计划</w:t>
            </w:r>
            <w:bookmarkEnd w:id="1"/>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宋体" w:eastAsia="宋体" w:hAnsi="宋体" w:cs="宋体"/>
                <w:kern w:val="0"/>
                <w:szCs w:val="21"/>
              </w:rPr>
            </w:pPr>
            <w:r w:rsidRPr="00C931E8">
              <w:rPr>
                <w:rFonts w:ascii="宋体" w:eastAsia="宋体" w:hAnsi="宋体" w:cs="宋体" w:hint="eastAsia"/>
                <w:kern w:val="0"/>
                <w:szCs w:val="21"/>
              </w:rPr>
              <w:t>打分</w:t>
            </w:r>
          </w:p>
        </w:tc>
      </w:tr>
      <w:tr w:rsidR="00E7442B" w:rsidRPr="00C931E8" w:rsidTr="005F196E">
        <w:trPr>
          <w:trHeight w:val="270"/>
        </w:trPr>
        <w:tc>
          <w:tcPr>
            <w:tcW w:w="4691" w:type="pct"/>
            <w:gridSpan w:val="8"/>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rPr>
                <w:rFonts w:ascii="宋体" w:eastAsia="宋体" w:hAnsi="宋体" w:cs="宋体"/>
                <w:kern w:val="0"/>
                <w:szCs w:val="21"/>
              </w:rPr>
            </w:pPr>
            <w:r w:rsidRPr="00C931E8">
              <w:rPr>
                <w:rFonts w:ascii="宋体" w:eastAsia="宋体" w:hAnsi="宋体" w:cs="宋体" w:hint="eastAsia"/>
                <w:kern w:val="0"/>
                <w:szCs w:val="21"/>
              </w:rPr>
              <w:t>提请评估部门：</w:t>
            </w:r>
            <w:r w:rsidRPr="00C931E8">
              <w:rPr>
                <w:rFonts w:ascii="Times New Roman" w:eastAsia="宋体" w:hAnsi="Times New Roman" w:cs="Times New Roman"/>
                <w:kern w:val="0"/>
                <w:szCs w:val="21"/>
              </w:rPr>
              <w:t xml:space="preserve"> </w:t>
            </w: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Cs w:val="21"/>
              </w:rPr>
            </w:pP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1 </w:t>
            </w:r>
            <w:r w:rsidRPr="00C931E8">
              <w:rPr>
                <w:rFonts w:ascii="宋体" w:eastAsia="宋体" w:hAnsi="宋体" w:cs="Times New Roman" w:hint="eastAsia"/>
                <w:kern w:val="0"/>
                <w:sz w:val="20"/>
                <w:szCs w:val="20"/>
              </w:rPr>
              <w:t>产品流动性</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设开放期且允许退出</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设开放期但不允许退出</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不设开放期</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其他情况</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10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20</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25</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10-25</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48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2 </w:t>
            </w:r>
            <w:r w:rsidRPr="00C931E8">
              <w:rPr>
                <w:rFonts w:ascii="宋体" w:eastAsia="宋体" w:hAnsi="宋体" w:cs="Times New Roman" w:hint="eastAsia"/>
                <w:kern w:val="0"/>
                <w:sz w:val="20"/>
                <w:szCs w:val="20"/>
              </w:rPr>
              <w:t>产品到期时限</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一年（含）及以内</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一年至二年（含）</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二年至三年（含）</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三年以上及无固定期限</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r w:rsidR="00E46416"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000000" w:fill="FFFFFF"/>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5</w:t>
            </w:r>
          </w:p>
        </w:tc>
        <w:tc>
          <w:tcPr>
            <w:tcW w:w="1051" w:type="pct"/>
            <w:gridSpan w:val="2"/>
            <w:tcBorders>
              <w:top w:val="single" w:sz="4" w:space="0" w:color="auto"/>
              <w:left w:val="nil"/>
              <w:bottom w:val="single" w:sz="4" w:space="0" w:color="auto"/>
              <w:right w:val="single" w:sz="4" w:space="0" w:color="auto"/>
            </w:tcBorders>
            <w:shd w:val="clear" w:color="000000" w:fill="FFFFFF"/>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10</w:t>
            </w:r>
          </w:p>
        </w:tc>
        <w:tc>
          <w:tcPr>
            <w:tcW w:w="947" w:type="pct"/>
            <w:gridSpan w:val="2"/>
            <w:tcBorders>
              <w:top w:val="single" w:sz="4" w:space="0" w:color="auto"/>
              <w:left w:val="nil"/>
              <w:bottom w:val="single" w:sz="4" w:space="0" w:color="auto"/>
              <w:right w:val="single" w:sz="4" w:space="0" w:color="auto"/>
            </w:tcBorders>
            <w:shd w:val="clear" w:color="000000" w:fill="FFFFFF"/>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15</w:t>
            </w:r>
          </w:p>
        </w:tc>
        <w:tc>
          <w:tcPr>
            <w:tcW w:w="771" w:type="pct"/>
            <w:tcBorders>
              <w:top w:val="nil"/>
              <w:left w:val="nil"/>
              <w:bottom w:val="single" w:sz="4" w:space="0" w:color="auto"/>
              <w:right w:val="single" w:sz="4" w:space="0" w:color="auto"/>
            </w:tcBorders>
            <w:shd w:val="clear" w:color="000000" w:fill="FFFFFF"/>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20</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vMerge w:val="restart"/>
            <w:tcBorders>
              <w:top w:val="nil"/>
              <w:left w:val="single" w:sz="4" w:space="0" w:color="auto"/>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3 </w:t>
            </w:r>
            <w:r w:rsidRPr="00C931E8">
              <w:rPr>
                <w:rFonts w:ascii="宋体" w:eastAsia="宋体" w:hAnsi="宋体" w:cs="Times New Roman" w:hint="eastAsia"/>
                <w:kern w:val="0"/>
                <w:sz w:val="20"/>
                <w:szCs w:val="20"/>
              </w:rPr>
              <w:t>杠杆情况</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无杠杆</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有杠杆（夹层）</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有杠杆（优先级）</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有杠杆（劣后级）</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其他情况</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72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c>
          <w:tcPr>
            <w:tcW w:w="444"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低于1倍（含）</w:t>
            </w:r>
          </w:p>
        </w:tc>
        <w:tc>
          <w:tcPr>
            <w:tcW w:w="487"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1倍（不含）-3倍（不含）</w:t>
            </w:r>
          </w:p>
        </w:tc>
        <w:tc>
          <w:tcPr>
            <w:tcW w:w="444"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低于1倍（含）</w:t>
            </w:r>
          </w:p>
        </w:tc>
        <w:tc>
          <w:tcPr>
            <w:tcW w:w="607"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1倍（不含）-3倍（不含）</w:t>
            </w:r>
          </w:p>
        </w:tc>
        <w:tc>
          <w:tcPr>
            <w:tcW w:w="482"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低于1倍（含）</w:t>
            </w:r>
          </w:p>
        </w:tc>
        <w:tc>
          <w:tcPr>
            <w:tcW w:w="465"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1倍（不含）-3倍（不含）</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其他</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444"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t>5</w:t>
            </w:r>
          </w:p>
        </w:tc>
        <w:tc>
          <w:tcPr>
            <w:tcW w:w="487"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t>10</w:t>
            </w:r>
          </w:p>
        </w:tc>
        <w:tc>
          <w:tcPr>
            <w:tcW w:w="444"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t>0</w:t>
            </w:r>
          </w:p>
        </w:tc>
        <w:tc>
          <w:tcPr>
            <w:tcW w:w="607"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t>5</w:t>
            </w:r>
          </w:p>
        </w:tc>
        <w:tc>
          <w:tcPr>
            <w:tcW w:w="482" w:type="pct"/>
            <w:tcBorders>
              <w:top w:val="nil"/>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10</w:t>
            </w:r>
          </w:p>
        </w:tc>
        <w:tc>
          <w:tcPr>
            <w:tcW w:w="465" w:type="pct"/>
            <w:tcBorders>
              <w:top w:val="nil"/>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15</w:t>
            </w:r>
          </w:p>
        </w:tc>
        <w:tc>
          <w:tcPr>
            <w:tcW w:w="771"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宋体" w:eastAsia="宋体" w:hAnsi="宋体" w:cs="宋体"/>
                <w:color w:val="FF0000"/>
                <w:kern w:val="0"/>
                <w:sz w:val="20"/>
                <w:szCs w:val="20"/>
              </w:rPr>
            </w:pPr>
            <w:r>
              <w:rPr>
                <w:rFonts w:ascii="宋体" w:eastAsia="宋体" w:hAnsi="宋体" w:cs="宋体" w:hint="eastAsia"/>
                <w:color w:val="FF0000"/>
                <w:kern w:val="0"/>
                <w:sz w:val="20"/>
                <w:szCs w:val="20"/>
              </w:rPr>
              <w:t>0</w:t>
            </w:r>
            <w:r w:rsidR="00E7442B" w:rsidRPr="009406CC">
              <w:rPr>
                <w:rFonts w:ascii="宋体" w:eastAsia="宋体" w:hAnsi="宋体" w:cs="宋体" w:hint="eastAsia"/>
                <w:color w:val="FF0000"/>
                <w:kern w:val="0"/>
                <w:sz w:val="20"/>
                <w:szCs w:val="20"/>
              </w:rPr>
              <w:t>-15</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4 </w:t>
            </w:r>
            <w:r w:rsidRPr="00C931E8">
              <w:rPr>
                <w:rFonts w:ascii="宋体" w:eastAsia="宋体" w:hAnsi="宋体" w:cs="Times New Roman" w:hint="eastAsia"/>
                <w:kern w:val="0"/>
                <w:sz w:val="20"/>
                <w:szCs w:val="20"/>
              </w:rPr>
              <w:t>是否复杂结构金融产品</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否</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是</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5</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5 </w:t>
            </w:r>
            <w:r w:rsidRPr="00C931E8">
              <w:rPr>
                <w:rFonts w:ascii="宋体" w:eastAsia="宋体" w:hAnsi="宋体" w:cs="Times New Roman" w:hint="eastAsia"/>
                <w:kern w:val="0"/>
                <w:sz w:val="20"/>
                <w:szCs w:val="20"/>
              </w:rPr>
              <w:t>投资单位产品最低金额</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100</w:t>
            </w:r>
            <w:r w:rsidRPr="00C931E8">
              <w:rPr>
                <w:rFonts w:ascii="宋体" w:eastAsia="宋体" w:hAnsi="宋体" w:cs="Times New Roman" w:hint="eastAsia"/>
                <w:kern w:val="0"/>
                <w:sz w:val="20"/>
                <w:szCs w:val="20"/>
              </w:rPr>
              <w:t>万（含）至</w:t>
            </w:r>
            <w:r w:rsidRPr="00C931E8">
              <w:rPr>
                <w:rFonts w:ascii="Times New Roman" w:eastAsia="宋体" w:hAnsi="Times New Roman" w:cs="Times New Roman"/>
                <w:kern w:val="0"/>
                <w:sz w:val="20"/>
                <w:szCs w:val="20"/>
              </w:rPr>
              <w:t>300</w:t>
            </w:r>
            <w:r w:rsidRPr="00C931E8">
              <w:rPr>
                <w:rFonts w:ascii="宋体" w:eastAsia="宋体" w:hAnsi="宋体" w:cs="Times New Roman" w:hint="eastAsia"/>
                <w:kern w:val="0"/>
                <w:sz w:val="20"/>
                <w:szCs w:val="20"/>
              </w:rPr>
              <w:t>万</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300</w:t>
            </w:r>
            <w:r w:rsidRPr="00C931E8">
              <w:rPr>
                <w:rFonts w:ascii="宋体" w:eastAsia="宋体" w:hAnsi="宋体" w:cs="Times New Roman" w:hint="eastAsia"/>
                <w:kern w:val="0"/>
                <w:sz w:val="20"/>
                <w:szCs w:val="20"/>
              </w:rPr>
              <w:t>万（含）以上</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5</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0</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single" w:sz="4" w:space="0" w:color="auto"/>
              <w:left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6 </w:t>
            </w:r>
            <w:r w:rsidRPr="00C931E8">
              <w:rPr>
                <w:rFonts w:ascii="宋体" w:eastAsia="宋体" w:hAnsi="宋体" w:cs="Times New Roman" w:hint="eastAsia"/>
                <w:kern w:val="0"/>
                <w:sz w:val="20"/>
                <w:szCs w:val="20"/>
              </w:rPr>
              <w:t>投资范围及方向</w:t>
            </w:r>
          </w:p>
        </w:tc>
        <w:tc>
          <w:tcPr>
            <w:tcW w:w="93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债权</w:t>
            </w:r>
          </w:p>
        </w:tc>
        <w:tc>
          <w:tcPr>
            <w:tcW w:w="105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混合类</w:t>
            </w:r>
          </w:p>
        </w:tc>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股权</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合伙企业</w:t>
            </w:r>
          </w:p>
        </w:tc>
        <w:tc>
          <w:tcPr>
            <w:tcW w:w="771" w:type="pct"/>
            <w:vMerge w:val="restar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（穿透到底）</w:t>
            </w:r>
          </w:p>
        </w:tc>
        <w:tc>
          <w:tcPr>
            <w:tcW w:w="931" w:type="pct"/>
            <w:gridSpan w:val="2"/>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1051" w:type="pct"/>
            <w:gridSpan w:val="2"/>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947" w:type="pct"/>
            <w:gridSpan w:val="2"/>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77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c>
          <w:tcPr>
            <w:tcW w:w="309"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30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30-40</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40</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vMerge w:val="restar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7 </w:t>
            </w:r>
            <w:r w:rsidRPr="00C931E8">
              <w:rPr>
                <w:rFonts w:ascii="宋体" w:eastAsia="宋体" w:hAnsi="宋体" w:cs="Times New Roman" w:hint="eastAsia"/>
                <w:kern w:val="0"/>
                <w:sz w:val="20"/>
                <w:szCs w:val="20"/>
              </w:rPr>
              <w:t>募集方式</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非金融机构代销</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金融机构代销</w:t>
            </w:r>
          </w:p>
        </w:tc>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直销</w:t>
            </w:r>
          </w:p>
        </w:tc>
        <w:tc>
          <w:tcPr>
            <w:tcW w:w="771" w:type="pct"/>
            <w:vMerge w:val="restar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混合类</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（私募）</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（私募）</w:t>
            </w: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77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309"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5</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0</w:t>
            </w:r>
          </w:p>
        </w:tc>
        <w:tc>
          <w:tcPr>
            <w:tcW w:w="771"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r w:rsidR="00E7442B" w:rsidRPr="009406CC">
              <w:rPr>
                <w:rFonts w:ascii="Times New Roman" w:eastAsia="宋体" w:hAnsi="Times New Roman" w:cs="Times New Roman"/>
                <w:color w:val="FF0000"/>
                <w:kern w:val="0"/>
                <w:sz w:val="20"/>
                <w:szCs w:val="20"/>
              </w:rPr>
              <w:t>-5</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615"/>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8.1</w:t>
            </w:r>
            <w:r w:rsidRPr="00C931E8">
              <w:rPr>
                <w:rFonts w:ascii="宋体" w:eastAsia="宋体" w:hAnsi="宋体" w:cs="Times New Roman" w:hint="eastAsia"/>
                <w:kern w:val="0"/>
                <w:sz w:val="20"/>
                <w:szCs w:val="20"/>
              </w:rPr>
              <w:t>融资主体信用状况</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主体评级</w:t>
            </w:r>
            <w:r w:rsidRPr="00C931E8">
              <w:rPr>
                <w:rFonts w:ascii="Times New Roman" w:eastAsia="宋体" w:hAnsi="Times New Roman" w:cs="Times New Roman"/>
                <w:kern w:val="0"/>
                <w:sz w:val="20"/>
                <w:szCs w:val="20"/>
              </w:rPr>
              <w:t>AAA</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主体评级</w:t>
            </w:r>
            <w:r w:rsidRPr="00C931E8">
              <w:rPr>
                <w:rFonts w:ascii="Times New Roman" w:eastAsia="宋体" w:hAnsi="Times New Roman" w:cs="Times New Roman"/>
                <w:kern w:val="0"/>
                <w:sz w:val="20"/>
                <w:szCs w:val="20"/>
              </w:rPr>
              <w:t>AA+</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主体评级</w:t>
            </w:r>
            <w:r w:rsidRPr="00C931E8">
              <w:rPr>
                <w:rFonts w:ascii="Times New Roman" w:eastAsia="宋体" w:hAnsi="Times New Roman" w:cs="Times New Roman"/>
                <w:kern w:val="0"/>
                <w:sz w:val="20"/>
                <w:szCs w:val="20"/>
              </w:rPr>
              <w:t>AA</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主体评级</w:t>
            </w:r>
            <w:r w:rsidRPr="00C931E8">
              <w:rPr>
                <w:rFonts w:ascii="Times New Roman" w:eastAsia="宋体" w:hAnsi="Times New Roman" w:cs="Times New Roman"/>
                <w:kern w:val="0"/>
                <w:sz w:val="20"/>
                <w:szCs w:val="20"/>
              </w:rPr>
              <w:t>AA-</w:t>
            </w:r>
            <w:r w:rsidRPr="00C931E8">
              <w:rPr>
                <w:rFonts w:ascii="宋体" w:eastAsia="宋体" w:hAnsi="宋体" w:cs="宋体" w:hint="eastAsia"/>
                <w:kern w:val="0"/>
                <w:sz w:val="20"/>
                <w:szCs w:val="20"/>
              </w:rPr>
              <w:t>及以下</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未评级</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5</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2</w:t>
            </w:r>
          </w:p>
        </w:tc>
        <w:tc>
          <w:tcPr>
            <w:tcW w:w="771" w:type="pct"/>
            <w:tcBorders>
              <w:top w:val="nil"/>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10</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300"/>
        </w:trPr>
        <w:tc>
          <w:tcPr>
            <w:tcW w:w="991" w:type="pct"/>
            <w:vMerge w:val="restar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8.2</w:t>
            </w:r>
            <w:r w:rsidRPr="00C931E8">
              <w:rPr>
                <w:rFonts w:ascii="宋体" w:eastAsia="宋体" w:hAnsi="宋体" w:cs="Times New Roman" w:hint="eastAsia"/>
                <w:kern w:val="0"/>
                <w:sz w:val="20"/>
                <w:szCs w:val="20"/>
              </w:rPr>
              <w:t>融资主体是否公众公司</w:t>
            </w:r>
          </w:p>
        </w:tc>
        <w:tc>
          <w:tcPr>
            <w:tcW w:w="93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主板上市</w:t>
            </w:r>
          </w:p>
        </w:tc>
        <w:tc>
          <w:tcPr>
            <w:tcW w:w="105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非主板上市</w:t>
            </w:r>
          </w:p>
        </w:tc>
        <w:tc>
          <w:tcPr>
            <w:tcW w:w="94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非公众国有公司</w:t>
            </w:r>
          </w:p>
        </w:tc>
        <w:tc>
          <w:tcPr>
            <w:tcW w:w="771" w:type="pct"/>
            <w:tcBorders>
              <w:top w:val="nil"/>
              <w:left w:val="nil"/>
              <w:bottom w:val="nil"/>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非公众</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105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947"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20"/>
                <w:szCs w:val="20"/>
              </w:rPr>
            </w:pP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民营公司</w:t>
            </w:r>
          </w:p>
        </w:tc>
        <w:tc>
          <w:tcPr>
            <w:tcW w:w="309"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Times New Roman" w:eastAsia="宋体" w:hAnsi="Times New Roman" w:cs="Times New Roman"/>
                <w:kern w:val="0"/>
                <w:sz w:val="20"/>
                <w:szCs w:val="20"/>
              </w:rPr>
            </w:pP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2</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5</w:t>
            </w:r>
          </w:p>
        </w:tc>
        <w:tc>
          <w:tcPr>
            <w:tcW w:w="771" w:type="pct"/>
            <w:tcBorders>
              <w:top w:val="nil"/>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10</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525"/>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8.3</w:t>
            </w:r>
            <w:r w:rsidRPr="00C931E8">
              <w:rPr>
                <w:rFonts w:ascii="宋体" w:eastAsia="宋体" w:hAnsi="宋体" w:cs="Times New Roman" w:hint="eastAsia"/>
                <w:kern w:val="0"/>
                <w:sz w:val="20"/>
                <w:szCs w:val="20"/>
              </w:rPr>
              <w:t>担保主体</w:t>
            </w:r>
            <w:r w:rsidR="006647DA">
              <w:rPr>
                <w:rFonts w:ascii="宋体" w:eastAsia="宋体" w:hAnsi="宋体" w:cs="Times New Roman" w:hint="eastAsia"/>
                <w:kern w:val="0"/>
                <w:sz w:val="20"/>
                <w:szCs w:val="20"/>
              </w:rPr>
              <w:t>评级和</w:t>
            </w:r>
            <w:r w:rsidRPr="00C931E8">
              <w:rPr>
                <w:rFonts w:ascii="宋体" w:eastAsia="宋体" w:hAnsi="宋体" w:cs="Times New Roman" w:hint="eastAsia"/>
                <w:kern w:val="0"/>
                <w:sz w:val="20"/>
                <w:szCs w:val="20"/>
              </w:rPr>
              <w:t>信用状况</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至少一个主体评级且为</w:t>
            </w:r>
            <w:r w:rsidRPr="00C931E8">
              <w:rPr>
                <w:rFonts w:ascii="Times New Roman" w:eastAsia="宋体" w:hAnsi="Times New Roman" w:cs="Times New Roman"/>
                <w:kern w:val="0"/>
                <w:sz w:val="20"/>
                <w:szCs w:val="20"/>
              </w:rPr>
              <w:t>AA</w:t>
            </w:r>
            <w:r w:rsidRPr="00C931E8">
              <w:rPr>
                <w:rFonts w:ascii="宋体" w:eastAsia="宋体" w:hAnsi="宋体" w:cs="宋体" w:hint="eastAsia"/>
                <w:kern w:val="0"/>
                <w:sz w:val="20"/>
                <w:szCs w:val="20"/>
              </w:rPr>
              <w:t>（含）以上</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主体评级</w:t>
            </w:r>
            <w:r w:rsidRPr="00C931E8">
              <w:rPr>
                <w:rFonts w:ascii="Times New Roman" w:eastAsia="宋体" w:hAnsi="Times New Roman" w:cs="Times New Roman"/>
                <w:kern w:val="0"/>
                <w:sz w:val="20"/>
                <w:szCs w:val="20"/>
              </w:rPr>
              <w:t>AA</w:t>
            </w:r>
            <w:r w:rsidRPr="00C931E8">
              <w:rPr>
                <w:rFonts w:ascii="宋体" w:eastAsia="宋体" w:hAnsi="宋体" w:cs="宋体" w:hint="eastAsia"/>
                <w:kern w:val="0"/>
                <w:sz w:val="20"/>
                <w:szCs w:val="20"/>
              </w:rPr>
              <w:t>以下</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无评级</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无担保</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525"/>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2</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5</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645"/>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8.4</w:t>
            </w:r>
            <w:r w:rsidRPr="00C931E8">
              <w:rPr>
                <w:rFonts w:ascii="宋体" w:eastAsia="宋体" w:hAnsi="宋体" w:cs="Times New Roman" w:hint="eastAsia"/>
                <w:kern w:val="0"/>
                <w:sz w:val="20"/>
                <w:szCs w:val="20"/>
              </w:rPr>
              <w:t>抵押质押情况</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356590" w:rsidRDefault="00090688" w:rsidP="00090688">
            <w:pPr>
              <w:widowControl/>
              <w:rPr>
                <w:rFonts w:ascii="宋体" w:eastAsia="宋体" w:hAnsi="宋体" w:cs="宋体"/>
                <w:kern w:val="0"/>
                <w:sz w:val="20"/>
                <w:szCs w:val="20"/>
              </w:rPr>
            </w:pPr>
            <w:r w:rsidRPr="00356590">
              <w:rPr>
                <w:rFonts w:ascii="宋体" w:eastAsia="宋体" w:hAnsi="宋体" w:cs="宋体" w:hint="eastAsia"/>
                <w:kern w:val="0"/>
                <w:sz w:val="20"/>
                <w:szCs w:val="20"/>
              </w:rPr>
              <w:t>流动性较好的</w:t>
            </w:r>
            <w:r w:rsidR="00E7442B" w:rsidRPr="00356590">
              <w:rPr>
                <w:rFonts w:ascii="宋体" w:eastAsia="宋体" w:hAnsi="宋体" w:cs="宋体" w:hint="eastAsia"/>
                <w:kern w:val="0"/>
                <w:sz w:val="20"/>
                <w:szCs w:val="20"/>
              </w:rPr>
              <w:t>股票</w:t>
            </w:r>
            <w:r w:rsidRPr="00356590">
              <w:rPr>
                <w:rFonts w:ascii="宋体" w:eastAsia="宋体" w:hAnsi="宋体" w:cs="宋体" w:hint="eastAsia"/>
                <w:kern w:val="0"/>
                <w:sz w:val="20"/>
                <w:szCs w:val="20"/>
              </w:rPr>
              <w:t>、股权或一线、省会城市土地、房</w:t>
            </w:r>
            <w:r w:rsidRPr="00356590">
              <w:rPr>
                <w:rFonts w:ascii="宋体" w:eastAsia="宋体" w:hAnsi="宋体" w:cs="宋体" w:hint="eastAsia"/>
                <w:kern w:val="0"/>
                <w:sz w:val="20"/>
                <w:szCs w:val="20"/>
              </w:rPr>
              <w:lastRenderedPageBreak/>
              <w:t>产抵质押</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356590" w:rsidRDefault="00090688" w:rsidP="00090688">
            <w:pPr>
              <w:widowControl/>
              <w:rPr>
                <w:rFonts w:ascii="宋体" w:eastAsia="宋体" w:hAnsi="宋体" w:cs="宋体"/>
                <w:kern w:val="0"/>
                <w:sz w:val="20"/>
                <w:szCs w:val="20"/>
              </w:rPr>
            </w:pPr>
            <w:r w:rsidRPr="00356590">
              <w:rPr>
                <w:rFonts w:ascii="宋体" w:eastAsia="宋体" w:hAnsi="宋体" w:cs="宋体" w:hint="eastAsia"/>
                <w:kern w:val="0"/>
                <w:sz w:val="20"/>
                <w:szCs w:val="20"/>
              </w:rPr>
              <w:lastRenderedPageBreak/>
              <w:t>流动性一般的</w:t>
            </w:r>
            <w:r w:rsidR="00E7442B" w:rsidRPr="00356590">
              <w:rPr>
                <w:rFonts w:ascii="宋体" w:eastAsia="宋体" w:hAnsi="宋体" w:cs="宋体" w:hint="eastAsia"/>
                <w:kern w:val="0"/>
                <w:sz w:val="20"/>
                <w:szCs w:val="20"/>
              </w:rPr>
              <w:t>股票</w:t>
            </w:r>
            <w:r w:rsidR="00E7442B" w:rsidRPr="00356590">
              <w:rPr>
                <w:rFonts w:ascii="Times New Roman" w:eastAsia="宋体" w:hAnsi="Times New Roman" w:cs="Times New Roman"/>
                <w:kern w:val="0"/>
                <w:sz w:val="20"/>
                <w:szCs w:val="20"/>
              </w:rPr>
              <w:t>/</w:t>
            </w:r>
            <w:r w:rsidR="00E7442B" w:rsidRPr="00356590">
              <w:rPr>
                <w:rFonts w:ascii="宋体" w:eastAsia="宋体" w:hAnsi="宋体" w:cs="宋体" w:hint="eastAsia"/>
                <w:kern w:val="0"/>
                <w:sz w:val="20"/>
                <w:szCs w:val="20"/>
              </w:rPr>
              <w:t>股权</w:t>
            </w:r>
            <w:r w:rsidRPr="00356590">
              <w:rPr>
                <w:rFonts w:ascii="宋体" w:eastAsia="宋体" w:hAnsi="宋体" w:cs="宋体" w:hint="eastAsia"/>
                <w:kern w:val="0"/>
                <w:sz w:val="20"/>
                <w:szCs w:val="20"/>
              </w:rPr>
              <w:t>或除一线、省会城市外的土地、房产</w:t>
            </w:r>
            <w:r w:rsidR="00E7442B" w:rsidRPr="00356590">
              <w:rPr>
                <w:rFonts w:ascii="宋体" w:eastAsia="宋体" w:hAnsi="宋体" w:cs="宋体" w:hint="eastAsia"/>
                <w:kern w:val="0"/>
                <w:sz w:val="20"/>
                <w:szCs w:val="20"/>
              </w:rPr>
              <w:lastRenderedPageBreak/>
              <w:t>抵质押</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lastRenderedPageBreak/>
              <w:t>无抵质押</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其他抵质押物（具体分析）</w:t>
            </w:r>
          </w:p>
        </w:tc>
        <w:tc>
          <w:tcPr>
            <w:tcW w:w="309" w:type="pct"/>
            <w:tcBorders>
              <w:top w:val="nil"/>
              <w:left w:val="nil"/>
              <w:bottom w:val="single" w:sz="4" w:space="0" w:color="auto"/>
              <w:right w:val="single" w:sz="4" w:space="0" w:color="auto"/>
            </w:tcBorders>
            <w:shd w:val="clear" w:color="auto" w:fill="auto"/>
            <w:vAlign w:val="center"/>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lastRenderedPageBreak/>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2</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9406CC" w:rsidRDefault="00E7442B"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color w:val="FF0000"/>
                <w:kern w:val="0"/>
                <w:sz w:val="20"/>
                <w:szCs w:val="20"/>
              </w:rPr>
              <w:t>5</w:t>
            </w:r>
          </w:p>
        </w:tc>
        <w:tc>
          <w:tcPr>
            <w:tcW w:w="771" w:type="pct"/>
            <w:tcBorders>
              <w:top w:val="nil"/>
              <w:left w:val="nil"/>
              <w:bottom w:val="single" w:sz="4" w:space="0" w:color="auto"/>
              <w:right w:val="single" w:sz="4" w:space="0" w:color="auto"/>
            </w:tcBorders>
            <w:shd w:val="clear" w:color="auto" w:fill="auto"/>
            <w:hideMark/>
          </w:tcPr>
          <w:p w:rsidR="00E7442B" w:rsidRPr="009406CC" w:rsidRDefault="009406CC" w:rsidP="00E7442B">
            <w:pPr>
              <w:widowControl/>
              <w:jc w:val="center"/>
              <w:rPr>
                <w:rFonts w:ascii="Times New Roman" w:eastAsia="宋体" w:hAnsi="Times New Roman" w:cs="Times New Roman"/>
                <w:color w:val="FF0000"/>
                <w:kern w:val="0"/>
                <w:sz w:val="20"/>
                <w:szCs w:val="20"/>
              </w:rPr>
            </w:pPr>
            <w:r w:rsidRPr="009406CC">
              <w:rPr>
                <w:rFonts w:ascii="Times New Roman" w:eastAsia="宋体" w:hAnsi="Times New Roman" w:cs="Times New Roman" w:hint="eastAsia"/>
                <w:color w:val="FF0000"/>
                <w:kern w:val="0"/>
                <w:sz w:val="20"/>
                <w:szCs w:val="20"/>
              </w:rPr>
              <w:t>0</w:t>
            </w:r>
            <w:r w:rsidR="00E7442B" w:rsidRPr="009406CC">
              <w:rPr>
                <w:rFonts w:ascii="Times New Roman" w:eastAsia="宋体" w:hAnsi="Times New Roman" w:cs="Times New Roman"/>
                <w:color w:val="FF0000"/>
                <w:kern w:val="0"/>
                <w:sz w:val="20"/>
                <w:szCs w:val="20"/>
              </w:rPr>
              <w:t>-5</w:t>
            </w:r>
          </w:p>
        </w:tc>
        <w:tc>
          <w:tcPr>
            <w:tcW w:w="309"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9 </w:t>
            </w:r>
            <w:r w:rsidRPr="00C931E8">
              <w:rPr>
                <w:rFonts w:ascii="宋体" w:eastAsia="宋体" w:hAnsi="宋体" w:cs="Times New Roman" w:hint="eastAsia"/>
                <w:kern w:val="0"/>
                <w:sz w:val="20"/>
                <w:szCs w:val="20"/>
              </w:rPr>
              <w:t>同类产品过往业绩</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无展期</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延期兑付情况</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有展期</w:t>
            </w:r>
            <w:r w:rsidRPr="00C931E8">
              <w:rPr>
                <w:rFonts w:ascii="Times New Roman" w:eastAsia="宋体" w:hAnsi="Times New Roman" w:cs="Times New Roman"/>
                <w:kern w:val="0"/>
                <w:sz w:val="20"/>
                <w:szCs w:val="20"/>
              </w:rPr>
              <w:t>/</w:t>
            </w:r>
            <w:r w:rsidRPr="00C931E8">
              <w:rPr>
                <w:rFonts w:ascii="宋体" w:eastAsia="宋体" w:hAnsi="宋体" w:cs="宋体" w:hint="eastAsia"/>
                <w:kern w:val="0"/>
                <w:sz w:val="20"/>
                <w:szCs w:val="20"/>
              </w:rPr>
              <w:t>延期兑付情况</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0</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5</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10 </w:t>
            </w:r>
            <w:r w:rsidRPr="00C931E8">
              <w:rPr>
                <w:rFonts w:ascii="宋体" w:eastAsia="宋体" w:hAnsi="宋体" w:cs="Times New Roman" w:hint="eastAsia"/>
                <w:kern w:val="0"/>
                <w:sz w:val="20"/>
                <w:szCs w:val="20"/>
              </w:rPr>
              <w:t>其他因素</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270"/>
        </w:trPr>
        <w:tc>
          <w:tcPr>
            <w:tcW w:w="991" w:type="pct"/>
            <w:tcBorders>
              <w:top w:val="nil"/>
              <w:left w:val="single" w:sz="4" w:space="0" w:color="auto"/>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评分标准</w:t>
            </w:r>
          </w:p>
        </w:tc>
        <w:tc>
          <w:tcPr>
            <w:tcW w:w="93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宋体" w:eastAsia="宋体" w:hAnsi="宋体" w:cs="宋体"/>
                <w:kern w:val="0"/>
                <w:sz w:val="20"/>
                <w:szCs w:val="20"/>
              </w:rPr>
            </w:pPr>
            <w:r w:rsidRPr="00C931E8">
              <w:rPr>
                <w:rFonts w:ascii="宋体" w:eastAsia="宋体" w:hAnsi="宋体" w:cs="宋体" w:hint="eastAsia"/>
                <w:kern w:val="0"/>
                <w:sz w:val="20"/>
                <w:szCs w:val="20"/>
              </w:rPr>
              <w:t xml:space="preserve">　</w:t>
            </w:r>
          </w:p>
        </w:tc>
        <w:tc>
          <w:tcPr>
            <w:tcW w:w="1051"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947" w:type="pct"/>
            <w:gridSpan w:val="2"/>
            <w:tcBorders>
              <w:top w:val="single" w:sz="4" w:space="0" w:color="auto"/>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771"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c>
          <w:tcPr>
            <w:tcW w:w="309" w:type="pct"/>
            <w:tcBorders>
              <w:top w:val="nil"/>
              <w:left w:val="nil"/>
              <w:bottom w:val="single" w:sz="4" w:space="0" w:color="auto"/>
              <w:right w:val="single" w:sz="4" w:space="0" w:color="auto"/>
            </w:tcBorders>
            <w:shd w:val="clear" w:color="auto" w:fill="auto"/>
            <w:hideMark/>
          </w:tcPr>
          <w:p w:rsidR="00E7442B" w:rsidRPr="00C931E8" w:rsidRDefault="00E7442B" w:rsidP="00E7442B">
            <w:pPr>
              <w:widowControl/>
              <w:jc w:val="center"/>
              <w:rPr>
                <w:rFonts w:ascii="Times New Roman" w:eastAsia="宋体" w:hAnsi="Times New Roman" w:cs="Times New Roman"/>
                <w:kern w:val="0"/>
                <w:sz w:val="20"/>
                <w:szCs w:val="20"/>
              </w:rPr>
            </w:pPr>
            <w:r w:rsidRPr="00C931E8">
              <w:rPr>
                <w:rFonts w:ascii="Times New Roman" w:eastAsia="宋体" w:hAnsi="Times New Roman" w:cs="Times New Roman"/>
                <w:kern w:val="0"/>
                <w:sz w:val="20"/>
                <w:szCs w:val="20"/>
              </w:rPr>
              <w:t xml:space="preserve">　</w:t>
            </w:r>
          </w:p>
        </w:tc>
      </w:tr>
      <w:tr w:rsidR="00E7442B" w:rsidRPr="00C931E8" w:rsidTr="005F196E">
        <w:trPr>
          <w:trHeight w:val="450"/>
        </w:trPr>
        <w:tc>
          <w:tcPr>
            <w:tcW w:w="991" w:type="pct"/>
            <w:vMerge w:val="restart"/>
            <w:tcBorders>
              <w:top w:val="nil"/>
              <w:left w:val="single" w:sz="4" w:space="0" w:color="auto"/>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综合风险评价</w:t>
            </w:r>
          </w:p>
        </w:tc>
        <w:tc>
          <w:tcPr>
            <w:tcW w:w="931" w:type="pct"/>
            <w:gridSpan w:val="2"/>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评价标准</w:t>
            </w:r>
          </w:p>
        </w:tc>
        <w:tc>
          <w:tcPr>
            <w:tcW w:w="1998" w:type="pct"/>
            <w:gridSpan w:val="4"/>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高风险等级（R5)</w:t>
            </w:r>
          </w:p>
        </w:tc>
        <w:tc>
          <w:tcPr>
            <w:tcW w:w="771" w:type="pct"/>
            <w:tcBorders>
              <w:top w:val="nil"/>
              <w:left w:val="nil"/>
              <w:bottom w:val="single" w:sz="4" w:space="0" w:color="auto"/>
              <w:right w:val="single" w:sz="4" w:space="0" w:color="auto"/>
            </w:tcBorders>
            <w:shd w:val="clear" w:color="000000" w:fill="95B3D7"/>
            <w:vAlign w:val="center"/>
            <w:hideMark/>
          </w:tcPr>
          <w:p w:rsidR="00E7442B" w:rsidRPr="00356590" w:rsidRDefault="00E7442B" w:rsidP="009406CC">
            <w:pPr>
              <w:widowControl/>
              <w:jc w:val="center"/>
              <w:rPr>
                <w:rFonts w:ascii="宋体" w:eastAsia="宋体" w:hAnsi="宋体" w:cs="宋体"/>
                <w:b/>
                <w:kern w:val="0"/>
                <w:sz w:val="18"/>
                <w:szCs w:val="18"/>
              </w:rPr>
            </w:pPr>
            <w:r w:rsidRPr="00356590">
              <w:rPr>
                <w:rFonts w:ascii="宋体" w:eastAsia="宋体" w:hAnsi="宋体" w:cs="宋体" w:hint="eastAsia"/>
                <w:b/>
                <w:kern w:val="0"/>
                <w:sz w:val="18"/>
                <w:szCs w:val="18"/>
              </w:rPr>
              <w:t>分值</w:t>
            </w:r>
            <w:r w:rsidRPr="00356590">
              <w:rPr>
                <w:rFonts w:ascii="仿宋_GB2312" w:eastAsia="仿宋_GB2312" w:hAnsi="宋体" w:cs="宋体" w:hint="eastAsia"/>
                <w:b/>
                <w:kern w:val="0"/>
                <w:sz w:val="18"/>
                <w:szCs w:val="18"/>
              </w:rPr>
              <w:t>8</w:t>
            </w:r>
            <w:r w:rsidR="009406CC" w:rsidRPr="00356590">
              <w:rPr>
                <w:rFonts w:ascii="仿宋_GB2312" w:eastAsia="仿宋_GB2312" w:hAnsi="宋体" w:cs="宋体" w:hint="eastAsia"/>
                <w:b/>
                <w:kern w:val="0"/>
                <w:sz w:val="18"/>
                <w:szCs w:val="18"/>
              </w:rPr>
              <w:t>5</w:t>
            </w:r>
            <w:r w:rsidRPr="00356590">
              <w:rPr>
                <w:rFonts w:ascii="宋体" w:eastAsia="宋体" w:hAnsi="宋体" w:cs="宋体" w:hint="eastAsia"/>
                <w:b/>
                <w:kern w:val="0"/>
                <w:sz w:val="18"/>
                <w:szCs w:val="18"/>
              </w:rPr>
              <w:t>分（含）以上</w:t>
            </w:r>
          </w:p>
        </w:tc>
        <w:tc>
          <w:tcPr>
            <w:tcW w:w="309" w:type="pct"/>
            <w:tcBorders>
              <w:top w:val="nil"/>
              <w:left w:val="nil"/>
              <w:bottom w:val="single" w:sz="4" w:space="0" w:color="auto"/>
              <w:right w:val="single" w:sz="4" w:space="0" w:color="auto"/>
            </w:tcBorders>
            <w:shd w:val="clear" w:color="000000" w:fill="95B3D7"/>
            <w:hideMark/>
          </w:tcPr>
          <w:p w:rsidR="00E7442B" w:rsidRPr="00C931E8" w:rsidRDefault="00E7442B" w:rsidP="00E7442B">
            <w:pPr>
              <w:widowControl/>
              <w:jc w:val="center"/>
              <w:rPr>
                <w:rFonts w:ascii="Times New Roman" w:eastAsia="宋体" w:hAnsi="Times New Roman" w:cs="Times New Roman"/>
                <w:b/>
                <w:kern w:val="0"/>
                <w:szCs w:val="21"/>
              </w:rPr>
            </w:pPr>
            <w:r w:rsidRPr="00C931E8">
              <w:rPr>
                <w:rFonts w:ascii="Times New Roman" w:eastAsia="宋体" w:hAnsi="Times New Roman" w:cs="Times New Roman"/>
                <w:b/>
                <w:kern w:val="0"/>
                <w:szCs w:val="21"/>
              </w:rPr>
              <w:t xml:space="preserve">　</w:t>
            </w:r>
          </w:p>
        </w:tc>
      </w:tr>
      <w:tr w:rsidR="00E7442B" w:rsidRPr="00C931E8" w:rsidTr="005F196E">
        <w:trPr>
          <w:trHeight w:val="45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1998" w:type="pct"/>
            <w:gridSpan w:val="4"/>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较高风险等级（R4)</w:t>
            </w:r>
          </w:p>
        </w:tc>
        <w:tc>
          <w:tcPr>
            <w:tcW w:w="771" w:type="pct"/>
            <w:tcBorders>
              <w:top w:val="nil"/>
              <w:left w:val="nil"/>
              <w:bottom w:val="single" w:sz="4" w:space="0" w:color="auto"/>
              <w:right w:val="single" w:sz="4" w:space="0" w:color="auto"/>
            </w:tcBorders>
            <w:shd w:val="clear" w:color="000000" w:fill="95B3D7"/>
            <w:vAlign w:val="center"/>
            <w:hideMark/>
          </w:tcPr>
          <w:p w:rsidR="00E7442B" w:rsidRPr="00356590" w:rsidRDefault="00E7442B" w:rsidP="009406CC">
            <w:pPr>
              <w:widowControl/>
              <w:jc w:val="center"/>
              <w:rPr>
                <w:rFonts w:ascii="宋体" w:eastAsia="宋体" w:hAnsi="宋体" w:cs="宋体"/>
                <w:b/>
                <w:kern w:val="0"/>
                <w:sz w:val="18"/>
                <w:szCs w:val="18"/>
              </w:rPr>
            </w:pPr>
            <w:r w:rsidRPr="00356590">
              <w:rPr>
                <w:rFonts w:ascii="宋体" w:eastAsia="宋体" w:hAnsi="宋体" w:cs="宋体" w:hint="eastAsia"/>
                <w:b/>
                <w:kern w:val="0"/>
                <w:sz w:val="18"/>
                <w:szCs w:val="18"/>
              </w:rPr>
              <w:t>分值</w:t>
            </w:r>
            <w:r w:rsidR="009406CC" w:rsidRPr="00356590">
              <w:rPr>
                <w:rFonts w:ascii="仿宋_GB2312" w:eastAsia="仿宋_GB2312" w:hAnsi="宋体" w:cs="宋体" w:hint="eastAsia"/>
                <w:b/>
                <w:kern w:val="0"/>
                <w:sz w:val="18"/>
                <w:szCs w:val="18"/>
              </w:rPr>
              <w:t>70</w:t>
            </w:r>
            <w:r w:rsidRPr="00356590">
              <w:rPr>
                <w:rFonts w:ascii="宋体" w:eastAsia="宋体" w:hAnsi="宋体" w:cs="宋体" w:hint="eastAsia"/>
                <w:b/>
                <w:kern w:val="0"/>
                <w:sz w:val="18"/>
                <w:szCs w:val="18"/>
              </w:rPr>
              <w:t>分（含）－</w:t>
            </w:r>
            <w:r w:rsidRPr="00356590">
              <w:rPr>
                <w:rFonts w:ascii="仿宋_GB2312" w:eastAsia="仿宋_GB2312" w:hAnsi="宋体" w:cs="宋体" w:hint="eastAsia"/>
                <w:b/>
                <w:kern w:val="0"/>
                <w:sz w:val="18"/>
                <w:szCs w:val="18"/>
              </w:rPr>
              <w:t>8</w:t>
            </w:r>
            <w:r w:rsidR="009406CC" w:rsidRPr="00356590">
              <w:rPr>
                <w:rFonts w:ascii="仿宋_GB2312" w:eastAsia="仿宋_GB2312" w:hAnsi="宋体" w:cs="宋体" w:hint="eastAsia"/>
                <w:b/>
                <w:kern w:val="0"/>
                <w:sz w:val="18"/>
                <w:szCs w:val="18"/>
              </w:rPr>
              <w:t>5</w:t>
            </w:r>
            <w:r w:rsidRPr="00356590">
              <w:rPr>
                <w:rFonts w:ascii="宋体" w:eastAsia="宋体" w:hAnsi="宋体" w:cs="宋体" w:hint="eastAsia"/>
                <w:b/>
                <w:kern w:val="0"/>
                <w:sz w:val="18"/>
                <w:szCs w:val="18"/>
              </w:rPr>
              <w:t>分</w:t>
            </w:r>
          </w:p>
        </w:tc>
        <w:tc>
          <w:tcPr>
            <w:tcW w:w="309" w:type="pct"/>
            <w:tcBorders>
              <w:top w:val="nil"/>
              <w:left w:val="nil"/>
              <w:bottom w:val="single" w:sz="4" w:space="0" w:color="auto"/>
              <w:right w:val="single" w:sz="4" w:space="0" w:color="auto"/>
            </w:tcBorders>
            <w:shd w:val="clear" w:color="000000" w:fill="95B3D7"/>
            <w:hideMark/>
          </w:tcPr>
          <w:p w:rsidR="00E7442B" w:rsidRPr="00C931E8" w:rsidRDefault="00E7442B" w:rsidP="00E7442B">
            <w:pPr>
              <w:widowControl/>
              <w:jc w:val="center"/>
              <w:rPr>
                <w:rFonts w:ascii="Times New Roman" w:eastAsia="宋体" w:hAnsi="Times New Roman" w:cs="Times New Roman"/>
                <w:b/>
                <w:kern w:val="0"/>
                <w:szCs w:val="21"/>
              </w:rPr>
            </w:pPr>
            <w:r w:rsidRPr="00C931E8">
              <w:rPr>
                <w:rFonts w:ascii="Times New Roman" w:eastAsia="宋体" w:hAnsi="Times New Roman" w:cs="Times New Roman"/>
                <w:b/>
                <w:kern w:val="0"/>
                <w:szCs w:val="21"/>
              </w:rPr>
              <w:t xml:space="preserve">　</w:t>
            </w:r>
          </w:p>
        </w:tc>
      </w:tr>
      <w:tr w:rsidR="00E7442B" w:rsidRPr="00C931E8" w:rsidTr="005F196E">
        <w:trPr>
          <w:trHeight w:val="285"/>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1998" w:type="pct"/>
            <w:gridSpan w:val="4"/>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中风险等级（R3)</w:t>
            </w:r>
          </w:p>
        </w:tc>
        <w:tc>
          <w:tcPr>
            <w:tcW w:w="771" w:type="pct"/>
            <w:tcBorders>
              <w:top w:val="nil"/>
              <w:left w:val="nil"/>
              <w:bottom w:val="single" w:sz="4" w:space="0" w:color="auto"/>
              <w:right w:val="single" w:sz="4" w:space="0" w:color="auto"/>
            </w:tcBorders>
            <w:shd w:val="clear" w:color="000000" w:fill="95B3D7"/>
            <w:vAlign w:val="center"/>
            <w:hideMark/>
          </w:tcPr>
          <w:p w:rsidR="00E7442B" w:rsidRPr="00356590" w:rsidRDefault="00E7442B" w:rsidP="009406CC">
            <w:pPr>
              <w:widowControl/>
              <w:jc w:val="center"/>
              <w:rPr>
                <w:rFonts w:ascii="宋体" w:eastAsia="宋体" w:hAnsi="宋体" w:cs="宋体"/>
                <w:b/>
                <w:kern w:val="0"/>
                <w:sz w:val="18"/>
                <w:szCs w:val="18"/>
              </w:rPr>
            </w:pPr>
            <w:r w:rsidRPr="00356590">
              <w:rPr>
                <w:rFonts w:ascii="宋体" w:eastAsia="宋体" w:hAnsi="宋体" w:cs="宋体" w:hint="eastAsia"/>
                <w:b/>
                <w:kern w:val="0"/>
                <w:sz w:val="18"/>
                <w:szCs w:val="18"/>
              </w:rPr>
              <w:t>分值</w:t>
            </w:r>
            <w:r w:rsidRPr="00356590">
              <w:rPr>
                <w:rFonts w:ascii="仿宋_GB2312" w:eastAsia="仿宋_GB2312" w:hAnsi="宋体" w:cs="宋体" w:hint="eastAsia"/>
                <w:b/>
                <w:kern w:val="0"/>
                <w:sz w:val="18"/>
                <w:szCs w:val="18"/>
              </w:rPr>
              <w:t>50</w:t>
            </w:r>
            <w:r w:rsidRPr="00356590">
              <w:rPr>
                <w:rFonts w:ascii="宋体" w:eastAsia="宋体" w:hAnsi="宋体" w:cs="宋体" w:hint="eastAsia"/>
                <w:b/>
                <w:kern w:val="0"/>
                <w:sz w:val="18"/>
                <w:szCs w:val="18"/>
              </w:rPr>
              <w:t>分（含）－</w:t>
            </w:r>
            <w:r w:rsidR="009406CC" w:rsidRPr="00356590">
              <w:rPr>
                <w:rFonts w:ascii="仿宋_GB2312" w:eastAsia="仿宋_GB2312" w:hAnsi="宋体" w:cs="宋体" w:hint="eastAsia"/>
                <w:b/>
                <w:kern w:val="0"/>
                <w:sz w:val="18"/>
                <w:szCs w:val="18"/>
              </w:rPr>
              <w:t>70</w:t>
            </w:r>
            <w:r w:rsidRPr="00356590">
              <w:rPr>
                <w:rFonts w:ascii="宋体" w:eastAsia="宋体" w:hAnsi="宋体" w:cs="宋体" w:hint="eastAsia"/>
                <w:b/>
                <w:kern w:val="0"/>
                <w:sz w:val="18"/>
                <w:szCs w:val="18"/>
              </w:rPr>
              <w:t>分</w:t>
            </w:r>
          </w:p>
        </w:tc>
        <w:tc>
          <w:tcPr>
            <w:tcW w:w="309" w:type="pct"/>
            <w:tcBorders>
              <w:top w:val="nil"/>
              <w:left w:val="nil"/>
              <w:bottom w:val="single" w:sz="4" w:space="0" w:color="auto"/>
              <w:right w:val="single" w:sz="4" w:space="0" w:color="auto"/>
            </w:tcBorders>
            <w:shd w:val="clear" w:color="000000" w:fill="95B3D7"/>
            <w:hideMark/>
          </w:tcPr>
          <w:p w:rsidR="00E7442B" w:rsidRPr="00C931E8" w:rsidRDefault="00E7442B" w:rsidP="00E7442B">
            <w:pPr>
              <w:widowControl/>
              <w:jc w:val="center"/>
              <w:rPr>
                <w:rFonts w:ascii="Times New Roman" w:eastAsia="宋体" w:hAnsi="Times New Roman" w:cs="Times New Roman"/>
                <w:b/>
                <w:kern w:val="0"/>
                <w:szCs w:val="21"/>
              </w:rPr>
            </w:pPr>
            <w:r w:rsidRPr="00C931E8">
              <w:rPr>
                <w:rFonts w:ascii="Times New Roman" w:eastAsia="宋体" w:hAnsi="Times New Roman" w:cs="Times New Roman"/>
                <w:b/>
                <w:kern w:val="0"/>
                <w:szCs w:val="21"/>
              </w:rPr>
              <w:t xml:space="preserve">　</w:t>
            </w:r>
          </w:p>
        </w:tc>
      </w:tr>
      <w:tr w:rsidR="00E7442B" w:rsidRPr="00C931E8" w:rsidTr="005F196E">
        <w:trPr>
          <w:trHeight w:val="45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1998" w:type="pct"/>
            <w:gridSpan w:val="4"/>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较低风险等级（R2)</w:t>
            </w:r>
          </w:p>
        </w:tc>
        <w:tc>
          <w:tcPr>
            <w:tcW w:w="771" w:type="pct"/>
            <w:tcBorders>
              <w:top w:val="nil"/>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分值</w:t>
            </w:r>
            <w:r w:rsidRPr="00C931E8">
              <w:rPr>
                <w:rFonts w:ascii="仿宋_GB2312" w:eastAsia="仿宋_GB2312" w:hAnsi="宋体" w:cs="宋体" w:hint="eastAsia"/>
                <w:b/>
                <w:kern w:val="0"/>
                <w:sz w:val="18"/>
                <w:szCs w:val="18"/>
              </w:rPr>
              <w:t>35</w:t>
            </w:r>
            <w:r w:rsidRPr="00C931E8">
              <w:rPr>
                <w:rFonts w:ascii="宋体" w:eastAsia="宋体" w:hAnsi="宋体" w:cs="宋体" w:hint="eastAsia"/>
                <w:b/>
                <w:kern w:val="0"/>
                <w:sz w:val="18"/>
                <w:szCs w:val="18"/>
              </w:rPr>
              <w:t>分（含）－</w:t>
            </w:r>
            <w:r w:rsidRPr="00C931E8">
              <w:rPr>
                <w:rFonts w:ascii="仿宋_GB2312" w:eastAsia="仿宋_GB2312" w:hAnsi="宋体" w:cs="宋体" w:hint="eastAsia"/>
                <w:b/>
                <w:kern w:val="0"/>
                <w:sz w:val="18"/>
                <w:szCs w:val="18"/>
              </w:rPr>
              <w:t>50</w:t>
            </w:r>
            <w:r w:rsidRPr="00C931E8">
              <w:rPr>
                <w:rFonts w:ascii="宋体" w:eastAsia="宋体" w:hAnsi="宋体" w:cs="宋体" w:hint="eastAsia"/>
                <w:b/>
                <w:kern w:val="0"/>
                <w:sz w:val="18"/>
                <w:szCs w:val="18"/>
              </w:rPr>
              <w:t>分</w:t>
            </w:r>
          </w:p>
        </w:tc>
        <w:tc>
          <w:tcPr>
            <w:tcW w:w="309" w:type="pct"/>
            <w:tcBorders>
              <w:top w:val="nil"/>
              <w:left w:val="nil"/>
              <w:bottom w:val="single" w:sz="4" w:space="0" w:color="auto"/>
              <w:right w:val="single" w:sz="4" w:space="0" w:color="auto"/>
            </w:tcBorders>
            <w:shd w:val="clear" w:color="000000" w:fill="95B3D7"/>
            <w:hideMark/>
          </w:tcPr>
          <w:p w:rsidR="00E7442B" w:rsidRPr="00C931E8" w:rsidRDefault="00E7442B" w:rsidP="00E7442B">
            <w:pPr>
              <w:widowControl/>
              <w:jc w:val="center"/>
              <w:rPr>
                <w:rFonts w:ascii="Times New Roman" w:eastAsia="宋体" w:hAnsi="Times New Roman" w:cs="Times New Roman"/>
                <w:b/>
                <w:kern w:val="0"/>
                <w:szCs w:val="21"/>
              </w:rPr>
            </w:pPr>
            <w:r w:rsidRPr="00C931E8">
              <w:rPr>
                <w:rFonts w:ascii="Times New Roman" w:eastAsia="宋体" w:hAnsi="Times New Roman" w:cs="Times New Roman"/>
                <w:b/>
                <w:kern w:val="0"/>
                <w:szCs w:val="21"/>
              </w:rPr>
              <w:t xml:space="preserve">　</w:t>
            </w:r>
          </w:p>
        </w:tc>
      </w:tr>
      <w:tr w:rsidR="00E7442B" w:rsidRPr="00C931E8" w:rsidTr="005F196E">
        <w:trPr>
          <w:trHeight w:val="27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b/>
                <w:kern w:val="0"/>
                <w:sz w:val="18"/>
                <w:szCs w:val="18"/>
              </w:rPr>
            </w:pPr>
          </w:p>
        </w:tc>
        <w:tc>
          <w:tcPr>
            <w:tcW w:w="1998" w:type="pct"/>
            <w:gridSpan w:val="4"/>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低风险等级（R1）</w:t>
            </w:r>
          </w:p>
        </w:tc>
        <w:tc>
          <w:tcPr>
            <w:tcW w:w="771" w:type="pct"/>
            <w:tcBorders>
              <w:top w:val="nil"/>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分值</w:t>
            </w:r>
            <w:r w:rsidRPr="00C931E8">
              <w:rPr>
                <w:rFonts w:ascii="仿宋_GB2312" w:eastAsia="仿宋_GB2312" w:hAnsi="宋体" w:cs="宋体" w:hint="eastAsia"/>
                <w:b/>
                <w:kern w:val="0"/>
                <w:sz w:val="18"/>
                <w:szCs w:val="18"/>
              </w:rPr>
              <w:t>35</w:t>
            </w:r>
            <w:r w:rsidRPr="00C931E8">
              <w:rPr>
                <w:rFonts w:ascii="宋体" w:eastAsia="宋体" w:hAnsi="宋体" w:cs="宋体" w:hint="eastAsia"/>
                <w:b/>
                <w:kern w:val="0"/>
                <w:sz w:val="18"/>
                <w:szCs w:val="18"/>
              </w:rPr>
              <w:t>分以下</w:t>
            </w:r>
          </w:p>
        </w:tc>
        <w:tc>
          <w:tcPr>
            <w:tcW w:w="309" w:type="pct"/>
            <w:tcBorders>
              <w:top w:val="nil"/>
              <w:left w:val="nil"/>
              <w:bottom w:val="single" w:sz="4" w:space="0" w:color="auto"/>
              <w:right w:val="single" w:sz="4" w:space="0" w:color="auto"/>
            </w:tcBorders>
            <w:shd w:val="clear" w:color="000000" w:fill="95B3D7"/>
            <w:hideMark/>
          </w:tcPr>
          <w:p w:rsidR="00E7442B" w:rsidRPr="00C931E8" w:rsidRDefault="00E7442B" w:rsidP="00E7442B">
            <w:pPr>
              <w:widowControl/>
              <w:jc w:val="center"/>
              <w:rPr>
                <w:rFonts w:ascii="Times New Roman" w:eastAsia="宋体" w:hAnsi="Times New Roman" w:cs="Times New Roman"/>
                <w:b/>
                <w:kern w:val="0"/>
                <w:szCs w:val="21"/>
              </w:rPr>
            </w:pPr>
            <w:r w:rsidRPr="00C931E8">
              <w:rPr>
                <w:rFonts w:ascii="Times New Roman" w:eastAsia="宋体" w:hAnsi="Times New Roman" w:cs="Times New Roman"/>
                <w:b/>
                <w:kern w:val="0"/>
                <w:szCs w:val="21"/>
              </w:rPr>
              <w:t xml:space="preserve">　</w:t>
            </w:r>
          </w:p>
        </w:tc>
      </w:tr>
      <w:tr w:rsidR="00E7442B" w:rsidRPr="00C931E8" w:rsidTr="00E7442B">
        <w:trPr>
          <w:trHeight w:val="270"/>
        </w:trPr>
        <w:tc>
          <w:tcPr>
            <w:tcW w:w="991" w:type="pct"/>
            <w:vMerge/>
            <w:tcBorders>
              <w:top w:val="nil"/>
              <w:left w:val="single" w:sz="4" w:space="0" w:color="auto"/>
              <w:bottom w:val="single" w:sz="4" w:space="0" w:color="auto"/>
              <w:right w:val="single" w:sz="4" w:space="0" w:color="auto"/>
            </w:tcBorders>
            <w:vAlign w:val="center"/>
            <w:hideMark/>
          </w:tcPr>
          <w:p w:rsidR="00E7442B" w:rsidRPr="00C931E8" w:rsidRDefault="00E7442B" w:rsidP="00E7442B">
            <w:pPr>
              <w:widowControl/>
              <w:jc w:val="left"/>
              <w:rPr>
                <w:rFonts w:ascii="宋体" w:eastAsia="宋体" w:hAnsi="宋体" w:cs="宋体"/>
                <w:kern w:val="0"/>
                <w:sz w:val="18"/>
                <w:szCs w:val="18"/>
              </w:rPr>
            </w:pPr>
          </w:p>
        </w:tc>
        <w:tc>
          <w:tcPr>
            <w:tcW w:w="931" w:type="pct"/>
            <w:gridSpan w:val="2"/>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b/>
                <w:kern w:val="0"/>
                <w:sz w:val="18"/>
                <w:szCs w:val="18"/>
              </w:rPr>
            </w:pPr>
            <w:r w:rsidRPr="00C931E8">
              <w:rPr>
                <w:rFonts w:ascii="宋体" w:eastAsia="宋体" w:hAnsi="宋体" w:cs="宋体" w:hint="eastAsia"/>
                <w:b/>
                <w:kern w:val="0"/>
                <w:sz w:val="18"/>
                <w:szCs w:val="18"/>
              </w:rPr>
              <w:t>产品总分</w:t>
            </w:r>
          </w:p>
        </w:tc>
        <w:tc>
          <w:tcPr>
            <w:tcW w:w="3078" w:type="pct"/>
            <w:gridSpan w:val="6"/>
            <w:tcBorders>
              <w:top w:val="single" w:sz="4" w:space="0" w:color="auto"/>
              <w:left w:val="nil"/>
              <w:bottom w:val="single" w:sz="4" w:space="0" w:color="auto"/>
              <w:right w:val="single" w:sz="4" w:space="0" w:color="auto"/>
            </w:tcBorders>
            <w:shd w:val="clear" w:color="000000" w:fill="95B3D7"/>
            <w:vAlign w:val="center"/>
            <w:hideMark/>
          </w:tcPr>
          <w:p w:rsidR="00E7442B" w:rsidRPr="00C931E8" w:rsidRDefault="00E7442B" w:rsidP="00E7442B">
            <w:pPr>
              <w:widowControl/>
              <w:jc w:val="center"/>
              <w:rPr>
                <w:rFonts w:ascii="宋体" w:eastAsia="宋体" w:hAnsi="宋体" w:cs="宋体"/>
                <w:kern w:val="0"/>
                <w:sz w:val="18"/>
                <w:szCs w:val="18"/>
              </w:rPr>
            </w:pPr>
            <w:r w:rsidRPr="00C931E8">
              <w:rPr>
                <w:rFonts w:ascii="宋体" w:eastAsia="宋体" w:hAnsi="宋体" w:cs="宋体" w:hint="eastAsia"/>
                <w:kern w:val="0"/>
                <w:sz w:val="18"/>
                <w:szCs w:val="18"/>
              </w:rPr>
              <w:t>0</w:t>
            </w:r>
          </w:p>
        </w:tc>
      </w:tr>
      <w:tr w:rsidR="00E7442B" w:rsidRPr="00C931E8" w:rsidTr="00E7442B">
        <w:trPr>
          <w:trHeight w:val="270"/>
        </w:trPr>
        <w:tc>
          <w:tcPr>
            <w:tcW w:w="5000" w:type="pct"/>
            <w:gridSpan w:val="9"/>
            <w:tcBorders>
              <w:top w:val="single" w:sz="4" w:space="0" w:color="auto"/>
              <w:left w:val="single" w:sz="4" w:space="0" w:color="auto"/>
              <w:bottom w:val="single" w:sz="4" w:space="0" w:color="auto"/>
              <w:right w:val="single" w:sz="4" w:space="0" w:color="auto"/>
            </w:tcBorders>
            <w:shd w:val="clear" w:color="000000" w:fill="95B3D7"/>
            <w:vAlign w:val="center"/>
            <w:hideMark/>
          </w:tcPr>
          <w:p w:rsidR="00E7442B" w:rsidRPr="00C931E8" w:rsidRDefault="00E7442B" w:rsidP="00E7442B">
            <w:pPr>
              <w:widowControl/>
              <w:rPr>
                <w:rFonts w:ascii="宋体" w:eastAsia="宋体" w:hAnsi="宋体" w:cs="宋体"/>
                <w:b/>
                <w:bCs/>
                <w:kern w:val="0"/>
                <w:sz w:val="20"/>
                <w:szCs w:val="20"/>
              </w:rPr>
            </w:pPr>
            <w:r w:rsidRPr="00C931E8">
              <w:rPr>
                <w:rFonts w:ascii="宋体" w:eastAsia="宋体" w:hAnsi="宋体" w:cs="宋体" w:hint="eastAsia"/>
                <w:b/>
                <w:bCs/>
                <w:kern w:val="0"/>
                <w:sz w:val="20"/>
                <w:szCs w:val="20"/>
              </w:rPr>
              <w:t>经综合风险评定，该产品为</w:t>
            </w:r>
            <w:r w:rsidRPr="00C931E8">
              <w:rPr>
                <w:rFonts w:ascii="仿宋_GB2312" w:eastAsia="仿宋_GB2312" w:hAnsi="宋体" w:cs="宋体" w:hint="eastAsia"/>
                <w:b/>
                <w:bCs/>
                <w:kern w:val="0"/>
                <w:sz w:val="20"/>
                <w:szCs w:val="20"/>
              </w:rPr>
              <w:t xml:space="preserve">     </w:t>
            </w:r>
            <w:r w:rsidRPr="00C931E8">
              <w:rPr>
                <w:rFonts w:ascii="宋体" w:eastAsia="宋体" w:hAnsi="宋体" w:cs="宋体" w:hint="eastAsia"/>
                <w:b/>
                <w:bCs/>
                <w:kern w:val="0"/>
                <w:sz w:val="20"/>
                <w:szCs w:val="20"/>
              </w:rPr>
              <w:t>风险等级</w:t>
            </w:r>
          </w:p>
        </w:tc>
      </w:tr>
      <w:tr w:rsidR="00E7442B" w:rsidRPr="00C931E8" w:rsidTr="00E7442B">
        <w:trPr>
          <w:trHeight w:val="956"/>
        </w:trPr>
        <w:tc>
          <w:tcPr>
            <w:tcW w:w="991" w:type="pct"/>
            <w:tcBorders>
              <w:top w:val="nil"/>
              <w:left w:val="single" w:sz="4" w:space="0" w:color="auto"/>
              <w:bottom w:val="single" w:sz="4" w:space="0" w:color="000000"/>
              <w:right w:val="single" w:sz="4" w:space="0" w:color="auto"/>
            </w:tcBorders>
            <w:shd w:val="clear" w:color="000000" w:fill="95B3D7"/>
            <w:hideMark/>
          </w:tcPr>
          <w:p w:rsidR="005F196E" w:rsidRPr="00C931E8" w:rsidRDefault="00E7442B" w:rsidP="00E7442B">
            <w:pPr>
              <w:widowControl/>
              <w:jc w:val="center"/>
              <w:rPr>
                <w:rFonts w:ascii="宋体" w:eastAsia="宋体" w:hAnsi="宋体" w:cs="宋体"/>
                <w:kern w:val="0"/>
                <w:sz w:val="18"/>
                <w:szCs w:val="18"/>
              </w:rPr>
            </w:pPr>
            <w:r w:rsidRPr="00C931E8">
              <w:rPr>
                <w:rFonts w:ascii="宋体" w:eastAsia="宋体" w:hAnsi="宋体" w:cs="宋体" w:hint="eastAsia"/>
                <w:kern w:val="0"/>
                <w:sz w:val="18"/>
                <w:szCs w:val="18"/>
              </w:rPr>
              <w:t xml:space="preserve"> </w:t>
            </w:r>
          </w:p>
          <w:p w:rsidR="00E7442B" w:rsidRPr="00C931E8" w:rsidRDefault="00E7442B" w:rsidP="00E7442B">
            <w:pPr>
              <w:widowControl/>
              <w:jc w:val="center"/>
              <w:rPr>
                <w:rFonts w:ascii="宋体" w:eastAsia="宋体" w:hAnsi="宋体" w:cs="宋体"/>
                <w:kern w:val="0"/>
                <w:sz w:val="18"/>
                <w:szCs w:val="18"/>
              </w:rPr>
            </w:pPr>
            <w:r w:rsidRPr="00C931E8">
              <w:rPr>
                <w:rFonts w:ascii="宋体" w:eastAsia="宋体" w:hAnsi="宋体" w:cs="宋体" w:hint="eastAsia"/>
                <w:kern w:val="0"/>
                <w:sz w:val="18"/>
                <w:szCs w:val="18"/>
              </w:rPr>
              <w:t>评级人员签字：</w:t>
            </w:r>
          </w:p>
        </w:tc>
        <w:tc>
          <w:tcPr>
            <w:tcW w:w="4009" w:type="pct"/>
            <w:gridSpan w:val="8"/>
            <w:tcBorders>
              <w:top w:val="nil"/>
              <w:left w:val="single" w:sz="4" w:space="0" w:color="auto"/>
              <w:bottom w:val="single" w:sz="4" w:space="0" w:color="auto"/>
              <w:right w:val="single" w:sz="4" w:space="0" w:color="auto"/>
            </w:tcBorders>
            <w:shd w:val="clear" w:color="000000" w:fill="95B3D7"/>
            <w:hideMark/>
          </w:tcPr>
          <w:p w:rsidR="00E7442B" w:rsidRPr="00C931E8" w:rsidRDefault="00E7442B" w:rsidP="00E7442B">
            <w:pPr>
              <w:widowControl/>
              <w:jc w:val="center"/>
              <w:rPr>
                <w:rFonts w:ascii="宋体" w:eastAsia="宋体" w:hAnsi="宋体" w:cs="宋体"/>
                <w:kern w:val="0"/>
                <w:sz w:val="18"/>
                <w:szCs w:val="18"/>
              </w:rPr>
            </w:pPr>
            <w:r w:rsidRPr="00C931E8">
              <w:rPr>
                <w:rFonts w:ascii="宋体" w:eastAsia="宋体" w:hAnsi="宋体" w:cs="宋体" w:hint="eastAsia"/>
                <w:kern w:val="0"/>
                <w:sz w:val="18"/>
                <w:szCs w:val="18"/>
              </w:rPr>
              <w:t xml:space="preserve">　</w:t>
            </w:r>
          </w:p>
          <w:p w:rsidR="00E7442B" w:rsidRPr="00C931E8" w:rsidRDefault="00E7442B" w:rsidP="00E7442B">
            <w:pPr>
              <w:widowControl/>
              <w:jc w:val="center"/>
              <w:rPr>
                <w:rFonts w:ascii="Times New Roman" w:eastAsia="宋体" w:hAnsi="Times New Roman" w:cs="Times New Roman"/>
                <w:kern w:val="0"/>
                <w:szCs w:val="21"/>
              </w:rPr>
            </w:pPr>
            <w:r w:rsidRPr="00C931E8">
              <w:rPr>
                <w:rFonts w:ascii="宋体" w:eastAsia="宋体" w:hAnsi="宋体" w:cs="宋体"/>
                <w:kern w:val="0"/>
                <w:sz w:val="18"/>
                <w:szCs w:val="18"/>
              </w:rPr>
              <w:t xml:space="preserve">　</w:t>
            </w:r>
          </w:p>
        </w:tc>
      </w:tr>
    </w:tbl>
    <w:p w:rsidR="000D7E52" w:rsidRPr="00C931E8" w:rsidRDefault="000D7E52" w:rsidP="00E7442B">
      <w:pPr>
        <w:rPr>
          <w:szCs w:val="21"/>
        </w:rPr>
      </w:pPr>
    </w:p>
    <w:p w:rsidR="00E7442B" w:rsidRPr="00C931E8" w:rsidRDefault="00E7442B" w:rsidP="00E7442B">
      <w:pPr>
        <w:rPr>
          <w:szCs w:val="21"/>
        </w:rPr>
      </w:pPr>
      <w:r w:rsidRPr="00C931E8">
        <w:rPr>
          <w:rFonts w:hint="eastAsia"/>
          <w:szCs w:val="21"/>
        </w:rPr>
        <w:t>备注：根据我司风险承受能力评估问卷打分结果，投资者风险偏好类型与产品登记的匹配关系如下表：</w:t>
      </w:r>
    </w:p>
    <w:p w:rsidR="00E7442B" w:rsidRPr="00C931E8" w:rsidRDefault="00E7442B" w:rsidP="00E7442B">
      <w:pPr>
        <w:rPr>
          <w:szCs w:val="21"/>
        </w:rPr>
      </w:pP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087"/>
        <w:gridCol w:w="1426"/>
        <w:gridCol w:w="1557"/>
        <w:gridCol w:w="1734"/>
        <w:gridCol w:w="1867"/>
      </w:tblGrid>
      <w:tr w:rsidR="00E7442B" w:rsidRPr="00C931E8" w:rsidTr="000D7E52">
        <w:trPr>
          <w:trHeight w:val="459"/>
        </w:trPr>
        <w:tc>
          <w:tcPr>
            <w:tcW w:w="911"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Calibri" w:eastAsia="宋体" w:hAnsi="Calibri" w:cs="Times New Roman" w:hint="eastAsia"/>
                <w:szCs w:val="21"/>
              </w:rPr>
              <w:t>风险偏好类型</w:t>
            </w:r>
          </w:p>
        </w:tc>
        <w:tc>
          <w:tcPr>
            <w:tcW w:w="579"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保守型</w:t>
            </w:r>
          </w:p>
        </w:tc>
        <w:tc>
          <w:tcPr>
            <w:tcW w:w="76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稳健型</w:t>
            </w:r>
          </w:p>
        </w:tc>
        <w:tc>
          <w:tcPr>
            <w:tcW w:w="83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平衡型</w:t>
            </w:r>
          </w:p>
        </w:tc>
        <w:tc>
          <w:tcPr>
            <w:tcW w:w="924"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成长型</w:t>
            </w:r>
          </w:p>
        </w:tc>
        <w:tc>
          <w:tcPr>
            <w:tcW w:w="995"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hint="eastAsia"/>
                <w:szCs w:val="21"/>
              </w:rPr>
              <w:t>积极型</w:t>
            </w:r>
          </w:p>
        </w:tc>
      </w:tr>
      <w:tr w:rsidR="00E7442B" w:rsidRPr="00C931E8" w:rsidTr="000D7E52">
        <w:trPr>
          <w:trHeight w:val="451"/>
        </w:trPr>
        <w:tc>
          <w:tcPr>
            <w:tcW w:w="911"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Calibri" w:eastAsia="宋体" w:hAnsi="Calibri" w:cs="Times New Roman" w:hint="eastAsia"/>
                <w:szCs w:val="21"/>
              </w:rPr>
              <w:t>匹配的产品</w:t>
            </w:r>
          </w:p>
        </w:tc>
        <w:tc>
          <w:tcPr>
            <w:tcW w:w="579"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低风险等级产品</w:t>
            </w:r>
          </w:p>
        </w:tc>
        <w:tc>
          <w:tcPr>
            <w:tcW w:w="76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较低风险</w:t>
            </w:r>
            <w:r w:rsidRPr="00C931E8">
              <w:rPr>
                <w:rFonts w:ascii="宋体" w:hAnsi="宋体" w:cs="宋体"/>
                <w:kern w:val="0"/>
                <w:szCs w:val="21"/>
              </w:rPr>
              <w:t>/低风险等级产品</w:t>
            </w:r>
          </w:p>
        </w:tc>
        <w:tc>
          <w:tcPr>
            <w:tcW w:w="830"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中风险</w:t>
            </w:r>
            <w:r w:rsidRPr="00C931E8">
              <w:rPr>
                <w:rFonts w:ascii="宋体" w:hAnsi="宋体" w:cs="宋体"/>
                <w:kern w:val="0"/>
                <w:szCs w:val="21"/>
              </w:rPr>
              <w:t>/较低风险/低风险等级产品</w:t>
            </w:r>
          </w:p>
        </w:tc>
        <w:tc>
          <w:tcPr>
            <w:tcW w:w="924"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较高风险</w:t>
            </w:r>
            <w:r w:rsidRPr="00C931E8">
              <w:rPr>
                <w:rFonts w:ascii="宋体" w:hAnsi="宋体" w:cs="宋体"/>
                <w:kern w:val="0"/>
                <w:szCs w:val="21"/>
              </w:rPr>
              <w:t>/中风险/较低风险/低风险等级产品</w:t>
            </w:r>
          </w:p>
        </w:tc>
        <w:tc>
          <w:tcPr>
            <w:tcW w:w="995" w:type="pct"/>
            <w:vAlign w:val="center"/>
          </w:tcPr>
          <w:p w:rsidR="00E7442B" w:rsidRPr="00C931E8" w:rsidRDefault="00E7442B" w:rsidP="005D3CD0">
            <w:pPr>
              <w:autoSpaceDE w:val="0"/>
              <w:autoSpaceDN w:val="0"/>
              <w:rPr>
                <w:rFonts w:ascii="Calibri" w:eastAsia="宋体" w:hAnsi="Calibri" w:cs="Times New Roman"/>
                <w:szCs w:val="21"/>
              </w:rPr>
            </w:pPr>
            <w:r w:rsidRPr="00C931E8">
              <w:rPr>
                <w:rFonts w:ascii="宋体" w:hAnsi="宋体" w:cs="宋体" w:hint="eastAsia"/>
                <w:kern w:val="0"/>
                <w:szCs w:val="21"/>
              </w:rPr>
              <w:t>高风险</w:t>
            </w:r>
            <w:r w:rsidRPr="00C931E8">
              <w:rPr>
                <w:rFonts w:ascii="宋体" w:hAnsi="宋体" w:cs="宋体"/>
                <w:kern w:val="0"/>
                <w:szCs w:val="21"/>
              </w:rPr>
              <w:t>/较高风险/中风险/较低风险/低风险等级产品</w:t>
            </w:r>
          </w:p>
        </w:tc>
      </w:tr>
    </w:tbl>
    <w:p w:rsidR="00E7442B" w:rsidRPr="00C931E8" w:rsidRDefault="00E7442B" w:rsidP="00E7442B">
      <w:pPr>
        <w:widowControl/>
        <w:rPr>
          <w:szCs w:val="21"/>
        </w:rPr>
      </w:pPr>
    </w:p>
    <w:p w:rsidR="005F20F9" w:rsidRPr="00C931E8" w:rsidRDefault="005F20F9"/>
    <w:sectPr w:rsidR="005F20F9" w:rsidRPr="00C931E8" w:rsidSect="00671736">
      <w:headerReference w:type="default" r:id="rId7"/>
      <w:footerReference w:type="default" r:id="rId8"/>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AD" w:rsidRDefault="000C5DAD" w:rsidP="005F20F9">
      <w:r>
        <w:separator/>
      </w:r>
    </w:p>
  </w:endnote>
  <w:endnote w:type="continuationSeparator" w:id="0">
    <w:p w:rsidR="000C5DAD" w:rsidRDefault="000C5DAD" w:rsidP="005F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2501"/>
      <w:docPartObj>
        <w:docPartGallery w:val="Page Numbers (Bottom of Page)"/>
        <w:docPartUnique/>
      </w:docPartObj>
    </w:sdtPr>
    <w:sdtEndPr>
      <w:rPr>
        <w:rFonts w:ascii="仿宋" w:eastAsia="仿宋" w:hAnsi="仿宋"/>
        <w:sz w:val="28"/>
        <w:szCs w:val="28"/>
      </w:rPr>
    </w:sdtEndPr>
    <w:sdtContent>
      <w:p w:rsidR="00090688" w:rsidRPr="00951B23" w:rsidRDefault="00400373" w:rsidP="00400373">
        <w:pPr>
          <w:pStyle w:val="a4"/>
          <w:jc w:val="center"/>
          <w:rPr>
            <w:rFonts w:ascii="仿宋" w:eastAsia="仿宋" w:hAnsi="仿宋"/>
            <w:sz w:val="28"/>
            <w:szCs w:val="28"/>
          </w:rPr>
        </w:pPr>
        <w:r w:rsidRPr="00951B23">
          <w:rPr>
            <w:rFonts w:ascii="仿宋" w:eastAsia="仿宋" w:hAnsi="仿宋"/>
            <w:sz w:val="28"/>
            <w:szCs w:val="28"/>
          </w:rPr>
          <w:fldChar w:fldCharType="begin"/>
        </w:r>
        <w:r w:rsidRPr="00951B23">
          <w:rPr>
            <w:rFonts w:ascii="仿宋" w:eastAsia="仿宋" w:hAnsi="仿宋"/>
            <w:sz w:val="28"/>
            <w:szCs w:val="28"/>
          </w:rPr>
          <w:instrText>PAGE   \* MERGEFORMAT</w:instrText>
        </w:r>
        <w:r w:rsidRPr="00951B23">
          <w:rPr>
            <w:rFonts w:ascii="仿宋" w:eastAsia="仿宋" w:hAnsi="仿宋"/>
            <w:sz w:val="28"/>
            <w:szCs w:val="28"/>
          </w:rPr>
          <w:fldChar w:fldCharType="separate"/>
        </w:r>
        <w:r w:rsidR="00951B23" w:rsidRPr="00951B23">
          <w:rPr>
            <w:rFonts w:ascii="仿宋" w:eastAsia="仿宋" w:hAnsi="仿宋"/>
            <w:noProof/>
            <w:sz w:val="28"/>
            <w:szCs w:val="28"/>
            <w:lang w:val="zh-CN"/>
          </w:rPr>
          <w:t>1</w:t>
        </w:r>
        <w:r w:rsidRPr="00951B23">
          <w:rPr>
            <w:rFonts w:ascii="仿宋" w:eastAsia="仿宋" w:hAnsi="仿宋"/>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AD" w:rsidRDefault="000C5DAD" w:rsidP="005F20F9">
      <w:r>
        <w:separator/>
      </w:r>
    </w:p>
  </w:footnote>
  <w:footnote w:type="continuationSeparator" w:id="0">
    <w:p w:rsidR="000C5DAD" w:rsidRDefault="000C5DAD" w:rsidP="005F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66" w:rsidRDefault="00B64A66" w:rsidP="00B64A66">
    <w:pPr>
      <w:pStyle w:val="a3"/>
      <w:jc w:val="right"/>
    </w:pPr>
    <w:r>
      <w:rPr>
        <w:rFonts w:hint="eastAsia"/>
      </w:rPr>
      <w:t>东海瑞京资产管理（上海）有限公司产品风险等级评估办法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0F9"/>
    <w:rsid w:val="00090688"/>
    <w:rsid w:val="000C5DAD"/>
    <w:rsid w:val="000D7E52"/>
    <w:rsid w:val="00113E33"/>
    <w:rsid w:val="001A2316"/>
    <w:rsid w:val="0024612F"/>
    <w:rsid w:val="00333E6F"/>
    <w:rsid w:val="00356590"/>
    <w:rsid w:val="003F765E"/>
    <w:rsid w:val="00400373"/>
    <w:rsid w:val="00511846"/>
    <w:rsid w:val="00527B66"/>
    <w:rsid w:val="00530C98"/>
    <w:rsid w:val="005404A5"/>
    <w:rsid w:val="005D3CD0"/>
    <w:rsid w:val="005F196E"/>
    <w:rsid w:val="005F20F9"/>
    <w:rsid w:val="00632A58"/>
    <w:rsid w:val="006647DA"/>
    <w:rsid w:val="00671736"/>
    <w:rsid w:val="007C7750"/>
    <w:rsid w:val="0087000D"/>
    <w:rsid w:val="008A5F57"/>
    <w:rsid w:val="008A6D01"/>
    <w:rsid w:val="008E0DA0"/>
    <w:rsid w:val="00907180"/>
    <w:rsid w:val="00907D69"/>
    <w:rsid w:val="009406CC"/>
    <w:rsid w:val="00951B23"/>
    <w:rsid w:val="00974AAE"/>
    <w:rsid w:val="00984C12"/>
    <w:rsid w:val="00987338"/>
    <w:rsid w:val="00A5169E"/>
    <w:rsid w:val="00A97DD2"/>
    <w:rsid w:val="00AE7EB0"/>
    <w:rsid w:val="00B64A66"/>
    <w:rsid w:val="00BA2D28"/>
    <w:rsid w:val="00BD2161"/>
    <w:rsid w:val="00BE7477"/>
    <w:rsid w:val="00BE7E76"/>
    <w:rsid w:val="00C20413"/>
    <w:rsid w:val="00C931E8"/>
    <w:rsid w:val="00CF0545"/>
    <w:rsid w:val="00E058AE"/>
    <w:rsid w:val="00E46416"/>
    <w:rsid w:val="00E7442B"/>
    <w:rsid w:val="00E81291"/>
    <w:rsid w:val="00EC3440"/>
    <w:rsid w:val="00FE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9D988-C56F-4ADC-9DC5-FD0DB83F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20F9"/>
    <w:rPr>
      <w:sz w:val="18"/>
      <w:szCs w:val="18"/>
    </w:rPr>
  </w:style>
  <w:style w:type="paragraph" w:styleId="a4">
    <w:name w:val="footer"/>
    <w:basedOn w:val="a"/>
    <w:link w:val="Char0"/>
    <w:uiPriority w:val="99"/>
    <w:unhideWhenUsed/>
    <w:rsid w:val="005F20F9"/>
    <w:pPr>
      <w:tabs>
        <w:tab w:val="center" w:pos="4153"/>
        <w:tab w:val="right" w:pos="8306"/>
      </w:tabs>
      <w:snapToGrid w:val="0"/>
      <w:jc w:val="left"/>
    </w:pPr>
    <w:rPr>
      <w:sz w:val="18"/>
      <w:szCs w:val="18"/>
    </w:rPr>
  </w:style>
  <w:style w:type="character" w:customStyle="1" w:styleId="Char0">
    <w:name w:val="页脚 Char"/>
    <w:basedOn w:val="a0"/>
    <w:link w:val="a4"/>
    <w:uiPriority w:val="99"/>
    <w:rsid w:val="005F20F9"/>
    <w:rPr>
      <w:sz w:val="18"/>
      <w:szCs w:val="18"/>
    </w:rPr>
  </w:style>
  <w:style w:type="paragraph" w:styleId="a5">
    <w:name w:val="List Paragraph"/>
    <w:basedOn w:val="a"/>
    <w:uiPriority w:val="34"/>
    <w:qFormat/>
    <w:rsid w:val="005D3CD0"/>
    <w:pPr>
      <w:ind w:leftChars="300" w:left="300" w:firstLineChars="200" w:firstLine="420"/>
    </w:pPr>
  </w:style>
  <w:style w:type="paragraph" w:styleId="a6">
    <w:name w:val="Balloon Text"/>
    <w:basedOn w:val="a"/>
    <w:link w:val="Char1"/>
    <w:uiPriority w:val="99"/>
    <w:semiHidden/>
    <w:unhideWhenUsed/>
    <w:rsid w:val="00400373"/>
    <w:rPr>
      <w:sz w:val="18"/>
      <w:szCs w:val="18"/>
    </w:rPr>
  </w:style>
  <w:style w:type="character" w:customStyle="1" w:styleId="Char1">
    <w:name w:val="批注框文本 Char"/>
    <w:basedOn w:val="a0"/>
    <w:link w:val="a6"/>
    <w:uiPriority w:val="99"/>
    <w:semiHidden/>
    <w:rsid w:val="004003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3144">
      <w:bodyDiv w:val="1"/>
      <w:marLeft w:val="0"/>
      <w:marRight w:val="0"/>
      <w:marTop w:val="0"/>
      <w:marBottom w:val="0"/>
      <w:divBdr>
        <w:top w:val="none" w:sz="0" w:space="0" w:color="auto"/>
        <w:left w:val="none" w:sz="0" w:space="0" w:color="auto"/>
        <w:bottom w:val="none" w:sz="0" w:space="0" w:color="auto"/>
        <w:right w:val="none" w:sz="0" w:space="0" w:color="auto"/>
      </w:divBdr>
    </w:div>
    <w:div w:id="11980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A9EF-1028-4D4B-9365-93B2A2F8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邵青</cp:lastModifiedBy>
  <cp:revision>27</cp:revision>
  <dcterms:created xsi:type="dcterms:W3CDTF">2017-08-01T07:35:00Z</dcterms:created>
  <dcterms:modified xsi:type="dcterms:W3CDTF">2022-08-10T07:06:00Z</dcterms:modified>
</cp:coreProperties>
</file>