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91E" w:rsidRPr="00C442D3" w:rsidRDefault="000A391E">
      <w:pPr>
        <w:jc w:val="center"/>
        <w:rPr>
          <w:b/>
          <w:sz w:val="32"/>
          <w:szCs w:val="32"/>
        </w:rPr>
      </w:pPr>
      <w:r w:rsidRPr="00C442D3">
        <w:rPr>
          <w:rFonts w:hint="eastAsia"/>
          <w:b/>
          <w:sz w:val="32"/>
          <w:szCs w:val="32"/>
        </w:rPr>
        <w:t>515</w:t>
      </w:r>
      <w:r w:rsidRPr="00C442D3">
        <w:rPr>
          <w:rFonts w:hint="eastAsia"/>
          <w:b/>
          <w:sz w:val="32"/>
          <w:szCs w:val="32"/>
        </w:rPr>
        <w:t>全国投资者保护宣传日</w:t>
      </w:r>
    </w:p>
    <w:p w:rsidR="000D452A" w:rsidRPr="00C442D3" w:rsidRDefault="00012048">
      <w:pPr>
        <w:jc w:val="center"/>
        <w:rPr>
          <w:b/>
          <w:sz w:val="32"/>
          <w:szCs w:val="32"/>
        </w:rPr>
      </w:pPr>
      <w:r w:rsidRPr="00C442D3">
        <w:rPr>
          <w:rFonts w:hint="eastAsia"/>
          <w:b/>
          <w:sz w:val="32"/>
          <w:szCs w:val="32"/>
        </w:rPr>
        <w:t>投资者</w:t>
      </w:r>
      <w:r w:rsidR="000A391E" w:rsidRPr="00C442D3">
        <w:rPr>
          <w:rFonts w:hint="eastAsia"/>
          <w:b/>
          <w:sz w:val="32"/>
          <w:szCs w:val="32"/>
        </w:rPr>
        <w:t>投资</w:t>
      </w:r>
      <w:r w:rsidRPr="00C442D3">
        <w:rPr>
          <w:rFonts w:hint="eastAsia"/>
          <w:b/>
          <w:sz w:val="32"/>
          <w:szCs w:val="32"/>
        </w:rPr>
        <w:t>注意事项</w:t>
      </w:r>
    </w:p>
    <w:p w:rsidR="000D452A" w:rsidRDefault="000D452A">
      <w:pPr>
        <w:jc w:val="center"/>
        <w:rPr>
          <w:b/>
          <w:sz w:val="36"/>
          <w:szCs w:val="36"/>
        </w:rPr>
      </w:pPr>
    </w:p>
    <w:p w:rsidR="000D452A" w:rsidRPr="00C442D3" w:rsidRDefault="00012048" w:rsidP="00C442D3">
      <w:pPr>
        <w:pStyle w:val="a3"/>
        <w:numPr>
          <w:ilvl w:val="0"/>
          <w:numId w:val="1"/>
        </w:numPr>
        <w:ind w:firstLineChars="0"/>
        <w:rPr>
          <w:rFonts w:asciiTheme="minorEastAsia" w:hAnsiTheme="minorEastAsia"/>
          <w:b/>
          <w:szCs w:val="21"/>
        </w:rPr>
      </w:pPr>
      <w:r w:rsidRPr="00C442D3">
        <w:rPr>
          <w:rFonts w:asciiTheme="minorEastAsia" w:hAnsiTheme="minorEastAsia" w:hint="eastAsia"/>
          <w:b/>
          <w:szCs w:val="21"/>
        </w:rPr>
        <w:t>必须为合格投资者。</w:t>
      </w:r>
    </w:p>
    <w:p w:rsidR="000D452A" w:rsidRPr="00C442D3" w:rsidRDefault="00012048" w:rsidP="00C442D3">
      <w:pPr>
        <w:ind w:firstLineChars="200" w:firstLine="420"/>
        <w:rPr>
          <w:rFonts w:asciiTheme="minorEastAsia" w:hAnsiTheme="minorEastAsia"/>
          <w:szCs w:val="21"/>
        </w:rPr>
      </w:pPr>
      <w:r w:rsidRPr="00C442D3">
        <w:rPr>
          <w:rFonts w:asciiTheme="minorEastAsia" w:hAnsiTheme="minorEastAsia" w:hint="eastAsia"/>
          <w:szCs w:val="21"/>
        </w:rPr>
        <w:t>资管产品不同于公募基金，募集对象</w:t>
      </w:r>
      <w:r w:rsidRPr="00C442D3">
        <w:rPr>
          <w:rFonts w:asciiTheme="minorEastAsia" w:hAnsiTheme="minorEastAsia" w:hint="eastAsia"/>
          <w:b/>
          <w:szCs w:val="21"/>
        </w:rPr>
        <w:t>仅针对合格投资者</w:t>
      </w:r>
      <w:r w:rsidRPr="00C442D3">
        <w:rPr>
          <w:rFonts w:asciiTheme="minorEastAsia" w:hAnsiTheme="minorEastAsia" w:hint="eastAsia"/>
          <w:szCs w:val="21"/>
        </w:rPr>
        <w:t>；资管产品需要具有一定投资知识、风险识别能力和承担能力的合格投资者才能购买，</w:t>
      </w:r>
      <w:bookmarkStart w:id="0" w:name="_GoBack"/>
      <w:bookmarkEnd w:id="0"/>
      <w:r w:rsidRPr="00C442D3">
        <w:rPr>
          <w:rFonts w:asciiTheme="minorEastAsia" w:hAnsiTheme="minorEastAsia" w:hint="eastAsia"/>
          <w:szCs w:val="21"/>
        </w:rPr>
        <w:t>在满足合格投资者标准的前提下，根据投资者适当性原则，再选择与自己风险承受能力相匹配的产品，投资需量力而行。</w:t>
      </w:r>
    </w:p>
    <w:p w:rsidR="004F6AA8" w:rsidRPr="00C442D3" w:rsidRDefault="00012048" w:rsidP="00C442D3">
      <w:pPr>
        <w:rPr>
          <w:rFonts w:asciiTheme="minorEastAsia" w:hAnsiTheme="minorEastAsia"/>
          <w:szCs w:val="21"/>
        </w:rPr>
      </w:pPr>
      <w:r w:rsidRPr="00C442D3">
        <w:rPr>
          <w:rFonts w:asciiTheme="minorEastAsia" w:hAnsiTheme="minorEastAsia" w:hint="eastAsia"/>
          <w:szCs w:val="21"/>
        </w:rPr>
        <w:t>（1）</w:t>
      </w:r>
      <w:r w:rsidR="004F6AA8" w:rsidRPr="00C442D3">
        <w:rPr>
          <w:rFonts w:asciiTheme="minorEastAsia" w:hAnsiTheme="minorEastAsia" w:hint="eastAsia"/>
          <w:szCs w:val="21"/>
        </w:rPr>
        <w:t>个人： 具有2年以上投资</w:t>
      </w:r>
      <w:r w:rsidRPr="00C442D3">
        <w:rPr>
          <w:rFonts w:asciiTheme="minorEastAsia" w:hAnsiTheme="minorEastAsia" w:hint="eastAsia"/>
          <w:szCs w:val="21"/>
        </w:rPr>
        <w:t>经历，</w:t>
      </w:r>
      <w:r w:rsidR="004F6AA8" w:rsidRPr="00C442D3">
        <w:rPr>
          <w:rFonts w:asciiTheme="minorEastAsia" w:hAnsiTheme="minorEastAsia" w:hint="eastAsia"/>
          <w:szCs w:val="21"/>
        </w:rPr>
        <w:t>且满足下列三项条件之一的自然人：家庭金融净资产不低于300万元，家庭金融资产不低于500万元，或最近三年本人年均收入不低于40万元；</w:t>
      </w:r>
    </w:p>
    <w:p w:rsidR="000D452A" w:rsidRPr="00C442D3" w:rsidRDefault="004F6AA8" w:rsidP="00C442D3">
      <w:pPr>
        <w:rPr>
          <w:rFonts w:asciiTheme="minorEastAsia" w:hAnsiTheme="minorEastAsia"/>
          <w:szCs w:val="21"/>
        </w:rPr>
      </w:pPr>
      <w:r w:rsidRPr="00C442D3">
        <w:rPr>
          <w:rFonts w:asciiTheme="minorEastAsia" w:hAnsiTheme="minorEastAsia" w:hint="eastAsia"/>
          <w:szCs w:val="21"/>
        </w:rPr>
        <w:t>（2）</w:t>
      </w:r>
      <w:r w:rsidR="00012048" w:rsidRPr="00C442D3">
        <w:rPr>
          <w:rFonts w:asciiTheme="minorEastAsia" w:hAnsiTheme="minorEastAsia" w:hint="eastAsia"/>
          <w:szCs w:val="21"/>
        </w:rPr>
        <w:t xml:space="preserve">机构： </w:t>
      </w:r>
      <w:r w:rsidRPr="00C442D3">
        <w:rPr>
          <w:rFonts w:asciiTheme="minorEastAsia" w:hAnsiTheme="minorEastAsia" w:hint="eastAsia"/>
          <w:szCs w:val="21"/>
        </w:rPr>
        <w:t>最近一年末</w:t>
      </w:r>
      <w:r w:rsidR="00012048" w:rsidRPr="00C442D3">
        <w:rPr>
          <w:rFonts w:asciiTheme="minorEastAsia" w:hAnsiTheme="minorEastAsia" w:hint="eastAsia"/>
          <w:szCs w:val="21"/>
        </w:rPr>
        <w:t>净资产不低于1000万元的法人单位；</w:t>
      </w:r>
    </w:p>
    <w:p w:rsidR="004F6AA8" w:rsidRPr="00C442D3" w:rsidRDefault="004F6AA8" w:rsidP="00C442D3">
      <w:pPr>
        <w:rPr>
          <w:rFonts w:asciiTheme="minorEastAsia" w:hAnsiTheme="minorEastAsia"/>
          <w:szCs w:val="21"/>
        </w:rPr>
      </w:pPr>
      <w:r w:rsidRPr="00C442D3">
        <w:rPr>
          <w:rFonts w:asciiTheme="minorEastAsia" w:hAnsiTheme="minorEastAsia" w:hint="eastAsia"/>
          <w:szCs w:val="21"/>
        </w:rPr>
        <w:t>（3）依法设立并接受国务院金融监督管理机构监管的机构，包括证券公司及其子公司、基金管理公司及其子公司、期货公司及其子公司、在中国证券投资基金业协会（以下简称证券投资基金业协会）登记的私募基金管理人、商业银行、金融资产投资公司、信托公司、保险公司、保险资产管理机构、财务公司及中国证监会认定的其他机构；</w:t>
      </w:r>
    </w:p>
    <w:p w:rsidR="004F6AA8" w:rsidRPr="00C442D3" w:rsidRDefault="004F6AA8" w:rsidP="00C442D3">
      <w:pPr>
        <w:rPr>
          <w:rFonts w:asciiTheme="minorEastAsia" w:hAnsiTheme="minorEastAsia"/>
          <w:szCs w:val="21"/>
        </w:rPr>
      </w:pPr>
      <w:r w:rsidRPr="00C442D3">
        <w:rPr>
          <w:rFonts w:asciiTheme="minorEastAsia" w:hAnsiTheme="minorEastAsia" w:hint="eastAsia"/>
          <w:szCs w:val="21"/>
        </w:rPr>
        <w:t>（4）接受国务院金融监督管理机构监管的机构发行的资产管理产品；</w:t>
      </w:r>
    </w:p>
    <w:p w:rsidR="004F6AA8" w:rsidRPr="00C442D3" w:rsidRDefault="004F6AA8" w:rsidP="00C442D3">
      <w:pPr>
        <w:rPr>
          <w:rFonts w:asciiTheme="minorEastAsia" w:hAnsiTheme="minorEastAsia"/>
          <w:szCs w:val="21"/>
        </w:rPr>
      </w:pPr>
      <w:r w:rsidRPr="00C442D3">
        <w:rPr>
          <w:rFonts w:asciiTheme="minorEastAsia" w:hAnsiTheme="minorEastAsia" w:hint="eastAsia"/>
          <w:szCs w:val="21"/>
        </w:rPr>
        <w:t>（5）基本养老金、社会保障基金、企业年金等养老基金，慈善基金等社会公益基金，合格境外机构投资者（QFII）、人民币合格境外机构投资者（RQFII）；</w:t>
      </w:r>
    </w:p>
    <w:p w:rsidR="004F6AA8" w:rsidRPr="00C442D3" w:rsidRDefault="004F6AA8" w:rsidP="00C442D3">
      <w:pPr>
        <w:rPr>
          <w:rFonts w:asciiTheme="minorEastAsia" w:hAnsiTheme="minorEastAsia"/>
          <w:szCs w:val="21"/>
        </w:rPr>
      </w:pPr>
      <w:r w:rsidRPr="00C442D3">
        <w:rPr>
          <w:rFonts w:asciiTheme="minorEastAsia" w:hAnsiTheme="minorEastAsia" w:hint="eastAsia"/>
          <w:szCs w:val="21"/>
        </w:rPr>
        <w:t>（6）中国证监会视为合格投资者的其他情形。</w:t>
      </w:r>
    </w:p>
    <w:p w:rsidR="000D452A" w:rsidRPr="00C442D3" w:rsidRDefault="000D452A" w:rsidP="00C442D3">
      <w:pPr>
        <w:pStyle w:val="a3"/>
        <w:ind w:left="1996" w:firstLineChars="0" w:firstLine="0"/>
        <w:rPr>
          <w:rFonts w:asciiTheme="minorEastAsia" w:hAnsiTheme="minorEastAsia"/>
          <w:szCs w:val="21"/>
        </w:rPr>
      </w:pPr>
    </w:p>
    <w:p w:rsidR="000D452A" w:rsidRPr="00C442D3" w:rsidRDefault="00012048" w:rsidP="00C442D3">
      <w:pPr>
        <w:pStyle w:val="a3"/>
        <w:numPr>
          <w:ilvl w:val="0"/>
          <w:numId w:val="1"/>
        </w:numPr>
        <w:ind w:firstLineChars="0"/>
        <w:rPr>
          <w:rFonts w:asciiTheme="minorEastAsia" w:hAnsiTheme="minorEastAsia"/>
          <w:b/>
          <w:szCs w:val="21"/>
        </w:rPr>
      </w:pPr>
      <w:r w:rsidRPr="00C442D3">
        <w:rPr>
          <w:rFonts w:asciiTheme="minorEastAsia" w:hAnsiTheme="minorEastAsia" w:hint="eastAsia"/>
          <w:b/>
          <w:szCs w:val="21"/>
        </w:rPr>
        <w:t>不得公开宣传。</w:t>
      </w:r>
    </w:p>
    <w:p w:rsidR="000D452A" w:rsidRPr="00C442D3" w:rsidRDefault="00012048" w:rsidP="00C442D3">
      <w:pPr>
        <w:ind w:firstLineChars="200" w:firstLine="420"/>
        <w:rPr>
          <w:rFonts w:asciiTheme="minorEastAsia" w:hAnsiTheme="minorEastAsia"/>
          <w:szCs w:val="21"/>
        </w:rPr>
      </w:pPr>
      <w:r w:rsidRPr="00C442D3">
        <w:rPr>
          <w:rFonts w:asciiTheme="minorEastAsia" w:hAnsiTheme="minorEastAsia" w:hint="eastAsia"/>
          <w:szCs w:val="21"/>
        </w:rPr>
        <w:t>资管产品</w:t>
      </w:r>
      <w:r w:rsidRPr="00C442D3">
        <w:rPr>
          <w:rFonts w:asciiTheme="minorEastAsia" w:hAnsiTheme="minorEastAsia" w:hint="eastAsia"/>
          <w:b/>
          <w:szCs w:val="21"/>
        </w:rPr>
        <w:t>不得通过</w:t>
      </w:r>
      <w:r w:rsidRPr="00C442D3">
        <w:rPr>
          <w:rFonts w:asciiTheme="minorEastAsia" w:hAnsiTheme="minorEastAsia" w:hint="eastAsia"/>
          <w:szCs w:val="21"/>
        </w:rPr>
        <w:t>报刊、电台、电视、互联网等公众传播媒体或者讲座、报告会、分析会和布告、传单、手机短信、微信、博客和电子邮件等方式，向不特定对象宣传推介；</w:t>
      </w:r>
      <w:r w:rsidRPr="00C442D3">
        <w:rPr>
          <w:rFonts w:asciiTheme="minorEastAsia" w:hAnsiTheme="minorEastAsia"/>
          <w:szCs w:val="21"/>
        </w:rPr>
        <w:t xml:space="preserve"> </w:t>
      </w:r>
    </w:p>
    <w:p w:rsidR="000D452A" w:rsidRPr="00C442D3" w:rsidRDefault="000D452A" w:rsidP="00C442D3">
      <w:pPr>
        <w:pStyle w:val="a3"/>
        <w:ind w:left="1996" w:firstLineChars="0" w:firstLine="0"/>
        <w:rPr>
          <w:rFonts w:asciiTheme="minorEastAsia" w:hAnsiTheme="minorEastAsia"/>
          <w:szCs w:val="21"/>
        </w:rPr>
      </w:pPr>
    </w:p>
    <w:p w:rsidR="000D452A" w:rsidRPr="00C442D3" w:rsidRDefault="00012048" w:rsidP="00C442D3">
      <w:pPr>
        <w:pStyle w:val="a3"/>
        <w:numPr>
          <w:ilvl w:val="0"/>
          <w:numId w:val="1"/>
        </w:numPr>
        <w:ind w:firstLineChars="0"/>
        <w:rPr>
          <w:rFonts w:asciiTheme="minorEastAsia" w:hAnsiTheme="minorEastAsia"/>
          <w:b/>
          <w:szCs w:val="21"/>
        </w:rPr>
      </w:pPr>
      <w:r w:rsidRPr="00C442D3">
        <w:rPr>
          <w:rFonts w:asciiTheme="minorEastAsia" w:hAnsiTheme="minorEastAsia" w:hint="eastAsia"/>
          <w:b/>
          <w:szCs w:val="21"/>
        </w:rPr>
        <w:t>购买渠道需合法。</w:t>
      </w:r>
    </w:p>
    <w:p w:rsidR="000D452A" w:rsidRPr="00C442D3" w:rsidRDefault="00012048" w:rsidP="00C442D3">
      <w:pPr>
        <w:ind w:firstLineChars="200" w:firstLine="420"/>
        <w:rPr>
          <w:rFonts w:asciiTheme="minorEastAsia" w:hAnsiTheme="minorEastAsia"/>
          <w:szCs w:val="21"/>
        </w:rPr>
      </w:pPr>
      <w:r w:rsidRPr="00C442D3">
        <w:rPr>
          <w:rFonts w:asciiTheme="minorEastAsia" w:hAnsiTheme="minorEastAsia" w:hint="eastAsia"/>
          <w:szCs w:val="21"/>
        </w:rPr>
        <w:t>投资者应经</w:t>
      </w:r>
      <w:r w:rsidRPr="00C442D3">
        <w:rPr>
          <w:rFonts w:asciiTheme="minorEastAsia" w:hAnsiTheme="minorEastAsia" w:hint="eastAsia"/>
          <w:b/>
          <w:szCs w:val="21"/>
        </w:rPr>
        <w:t>有合法资质的产品管理人或销售机构处购买产品</w:t>
      </w:r>
      <w:r w:rsidRPr="00C442D3">
        <w:rPr>
          <w:rFonts w:asciiTheme="minorEastAsia" w:hAnsiTheme="minorEastAsia" w:hint="eastAsia"/>
          <w:szCs w:val="21"/>
        </w:rPr>
        <w:t>，购买产品前可查验产品管理人或销售机构资质，销售机构资质可去中国证监会网站“信息披露-基金信息披露-机构名录”项下查询基金销售机构；</w:t>
      </w:r>
    </w:p>
    <w:p w:rsidR="000D452A" w:rsidRPr="00C442D3" w:rsidRDefault="00012048" w:rsidP="00C442D3">
      <w:pPr>
        <w:ind w:firstLineChars="200" w:firstLine="420"/>
        <w:rPr>
          <w:rFonts w:asciiTheme="minorEastAsia" w:hAnsiTheme="minorEastAsia"/>
          <w:szCs w:val="21"/>
        </w:rPr>
      </w:pPr>
      <w:r w:rsidRPr="00C442D3">
        <w:rPr>
          <w:rFonts w:asciiTheme="minorEastAsia" w:hAnsiTheme="minorEastAsia" w:hint="eastAsia"/>
          <w:szCs w:val="21"/>
        </w:rPr>
        <w:t>产品管理人资质可去中国证监会网站：“监管对象-合法机构名录-基金管理公司从事特定客户资产管理业务子公司名录”项下查询管理人资质，了解其业务资格等情况。</w:t>
      </w:r>
    </w:p>
    <w:p w:rsidR="000D452A" w:rsidRPr="00C442D3" w:rsidRDefault="00012048" w:rsidP="00C442D3">
      <w:pPr>
        <w:ind w:firstLineChars="250" w:firstLine="525"/>
        <w:rPr>
          <w:rFonts w:asciiTheme="minorEastAsia" w:hAnsiTheme="minorEastAsia"/>
          <w:szCs w:val="21"/>
        </w:rPr>
      </w:pPr>
      <w:r w:rsidRPr="00C442D3">
        <w:rPr>
          <w:rFonts w:asciiTheme="minorEastAsia" w:hAnsiTheme="minorEastAsia" w:hint="eastAsia"/>
          <w:szCs w:val="21"/>
        </w:rPr>
        <w:t>（中国证监会网址:</w:t>
      </w:r>
      <w:r w:rsidRPr="00C442D3">
        <w:rPr>
          <w:rFonts w:asciiTheme="minorEastAsia" w:hAnsiTheme="minorEastAsia"/>
          <w:szCs w:val="21"/>
        </w:rPr>
        <w:t>http://www.csrc.gov.cn/pub/newsite/</w:t>
      </w:r>
      <w:r w:rsidRPr="00C442D3">
        <w:rPr>
          <w:rFonts w:asciiTheme="minorEastAsia" w:hAnsiTheme="minorEastAsia" w:hint="eastAsia"/>
          <w:szCs w:val="21"/>
        </w:rPr>
        <w:t>）</w:t>
      </w:r>
    </w:p>
    <w:p w:rsidR="000D452A" w:rsidRPr="00C442D3" w:rsidRDefault="00012048" w:rsidP="00C442D3">
      <w:pPr>
        <w:ind w:firstLineChars="250" w:firstLine="525"/>
        <w:rPr>
          <w:rFonts w:asciiTheme="minorEastAsia" w:hAnsiTheme="minorEastAsia"/>
          <w:szCs w:val="21"/>
        </w:rPr>
      </w:pPr>
      <w:r w:rsidRPr="00C442D3">
        <w:rPr>
          <w:rFonts w:asciiTheme="minorEastAsia" w:hAnsiTheme="minorEastAsia" w:hint="eastAsia"/>
          <w:szCs w:val="21"/>
        </w:rPr>
        <w:t>我司产品的销售渠道将以公告的形式在我司官方网站进行披露，敬请投资者查验、核实，如投资者有任何疑问也可致电我司客服，电话021-61621622。</w:t>
      </w:r>
    </w:p>
    <w:p w:rsidR="000D452A" w:rsidRPr="00C442D3" w:rsidRDefault="000D452A" w:rsidP="00C442D3">
      <w:pPr>
        <w:pStyle w:val="a3"/>
        <w:ind w:left="720" w:firstLineChars="0" w:firstLine="0"/>
        <w:rPr>
          <w:rFonts w:asciiTheme="minorEastAsia" w:hAnsiTheme="minorEastAsia"/>
          <w:szCs w:val="21"/>
        </w:rPr>
      </w:pPr>
    </w:p>
    <w:p w:rsidR="000D452A" w:rsidRPr="00C442D3" w:rsidRDefault="00012048" w:rsidP="00C442D3">
      <w:pPr>
        <w:pStyle w:val="a3"/>
        <w:numPr>
          <w:ilvl w:val="0"/>
          <w:numId w:val="1"/>
        </w:numPr>
        <w:ind w:firstLineChars="0"/>
        <w:rPr>
          <w:rFonts w:asciiTheme="minorEastAsia" w:hAnsiTheme="minorEastAsia"/>
          <w:b/>
          <w:szCs w:val="21"/>
        </w:rPr>
      </w:pPr>
      <w:r w:rsidRPr="00C442D3">
        <w:rPr>
          <w:rFonts w:asciiTheme="minorEastAsia" w:hAnsiTheme="minorEastAsia" w:hint="eastAsia"/>
          <w:b/>
          <w:szCs w:val="21"/>
        </w:rPr>
        <w:t>仔细查阅相关合同。</w:t>
      </w:r>
    </w:p>
    <w:p w:rsidR="000D452A" w:rsidRPr="00C442D3" w:rsidRDefault="00012048" w:rsidP="00C442D3">
      <w:pPr>
        <w:ind w:firstLineChars="200" w:firstLine="420"/>
        <w:rPr>
          <w:rFonts w:asciiTheme="minorEastAsia" w:hAnsiTheme="minorEastAsia"/>
          <w:szCs w:val="21"/>
        </w:rPr>
      </w:pPr>
      <w:r w:rsidRPr="00C442D3">
        <w:rPr>
          <w:rFonts w:asciiTheme="minorEastAsia" w:hAnsiTheme="minorEastAsia" w:hint="eastAsia"/>
          <w:szCs w:val="21"/>
        </w:rPr>
        <w:t>产品合同及其他相关协议等是规定投资者与管理人之间权利和义务的重要文书。投资者需了解合同约定的权利义务，</w:t>
      </w:r>
      <w:r w:rsidRPr="00C442D3">
        <w:rPr>
          <w:rFonts w:asciiTheme="minorEastAsia" w:hAnsiTheme="minorEastAsia" w:hint="eastAsia"/>
          <w:b/>
          <w:szCs w:val="21"/>
        </w:rPr>
        <w:t>仔细阅读合同风险揭示、收益分配、费用支付、可能承担的损失等条款</w:t>
      </w:r>
      <w:r w:rsidRPr="00C442D3">
        <w:rPr>
          <w:rFonts w:asciiTheme="minorEastAsia" w:hAnsiTheme="minorEastAsia" w:hint="eastAsia"/>
          <w:szCs w:val="21"/>
        </w:rPr>
        <w:t>，对于不懂的概念、模糊的表述可以要求管理人或销售机构进行解释或说明。</w:t>
      </w:r>
    </w:p>
    <w:p w:rsidR="000D452A" w:rsidRPr="00C442D3" w:rsidRDefault="000D452A" w:rsidP="00C442D3">
      <w:pPr>
        <w:pStyle w:val="a3"/>
        <w:ind w:left="720" w:firstLineChars="0" w:firstLine="0"/>
        <w:rPr>
          <w:rFonts w:asciiTheme="minorEastAsia" w:hAnsiTheme="minorEastAsia"/>
          <w:szCs w:val="21"/>
        </w:rPr>
      </w:pPr>
    </w:p>
    <w:p w:rsidR="000D452A" w:rsidRPr="00C442D3" w:rsidRDefault="00012048" w:rsidP="00C442D3">
      <w:pPr>
        <w:pStyle w:val="a3"/>
        <w:numPr>
          <w:ilvl w:val="0"/>
          <w:numId w:val="1"/>
        </w:numPr>
        <w:ind w:firstLineChars="0"/>
        <w:rPr>
          <w:rFonts w:asciiTheme="minorEastAsia" w:hAnsiTheme="minorEastAsia"/>
          <w:b/>
          <w:szCs w:val="21"/>
        </w:rPr>
      </w:pPr>
      <w:r w:rsidRPr="00C442D3">
        <w:rPr>
          <w:rFonts w:asciiTheme="minorEastAsia" w:hAnsiTheme="minorEastAsia" w:hint="eastAsia"/>
          <w:b/>
          <w:szCs w:val="21"/>
        </w:rPr>
        <w:t>要持续关注产品信息。</w:t>
      </w:r>
    </w:p>
    <w:p w:rsidR="000D452A" w:rsidRPr="00C442D3" w:rsidRDefault="00012048" w:rsidP="00C442D3">
      <w:pPr>
        <w:ind w:firstLineChars="200" w:firstLine="420"/>
        <w:rPr>
          <w:rFonts w:asciiTheme="minorEastAsia" w:hAnsiTheme="minorEastAsia"/>
          <w:szCs w:val="21"/>
        </w:rPr>
      </w:pPr>
      <w:r w:rsidRPr="00C442D3">
        <w:rPr>
          <w:rFonts w:asciiTheme="minorEastAsia" w:hAnsiTheme="minorEastAsia" w:hint="eastAsia"/>
          <w:szCs w:val="21"/>
        </w:rPr>
        <w:t>投资者在认购产品后，应当</w:t>
      </w:r>
      <w:r w:rsidRPr="00C442D3">
        <w:rPr>
          <w:rFonts w:asciiTheme="minorEastAsia" w:hAnsiTheme="minorEastAsia" w:hint="eastAsia"/>
          <w:b/>
          <w:szCs w:val="21"/>
        </w:rPr>
        <w:t>持续关注产品备案、投资、运行情况，</w:t>
      </w:r>
      <w:r w:rsidRPr="00C442D3">
        <w:rPr>
          <w:rFonts w:asciiTheme="minorEastAsia" w:hAnsiTheme="minorEastAsia" w:hint="eastAsia"/>
          <w:szCs w:val="21"/>
        </w:rPr>
        <w:t>及时知晓管理人披露的各项产品运作公告或报告等信息。产品备案情况可去中国证券投资基金业协会网站查询，</w:t>
      </w:r>
      <w:r w:rsidRPr="00C442D3">
        <w:rPr>
          <w:rFonts w:asciiTheme="minorEastAsia" w:hAnsiTheme="minorEastAsia" w:hint="eastAsia"/>
          <w:szCs w:val="21"/>
        </w:rPr>
        <w:lastRenderedPageBreak/>
        <w:t>产品投资、运行情况可按照资产管理合同等法律文件的约定进行查阅。</w:t>
      </w:r>
    </w:p>
    <w:p w:rsidR="000D452A" w:rsidRPr="00C442D3" w:rsidRDefault="00012048" w:rsidP="00C442D3">
      <w:pPr>
        <w:rPr>
          <w:rFonts w:asciiTheme="minorEastAsia" w:hAnsiTheme="minorEastAsia"/>
          <w:szCs w:val="21"/>
        </w:rPr>
      </w:pPr>
      <w:r w:rsidRPr="00C442D3">
        <w:rPr>
          <w:rFonts w:asciiTheme="minorEastAsia" w:hAnsiTheme="minorEastAsia" w:hint="eastAsia"/>
          <w:szCs w:val="21"/>
        </w:rPr>
        <w:t>（中国证券投资基金业协会网址：</w:t>
      </w:r>
      <w:r w:rsidRPr="00C442D3">
        <w:rPr>
          <w:rFonts w:asciiTheme="minorEastAsia" w:hAnsiTheme="minorEastAsia"/>
          <w:szCs w:val="21"/>
        </w:rPr>
        <w:t>http://www.amac.org.cn/</w:t>
      </w:r>
      <w:r w:rsidRPr="00C442D3">
        <w:rPr>
          <w:rFonts w:asciiTheme="minorEastAsia" w:hAnsiTheme="minorEastAsia" w:hint="eastAsia"/>
          <w:szCs w:val="21"/>
        </w:rPr>
        <w:t>）</w:t>
      </w:r>
    </w:p>
    <w:p w:rsidR="000D452A" w:rsidRPr="00C442D3" w:rsidRDefault="000D452A" w:rsidP="00C442D3">
      <w:pPr>
        <w:rPr>
          <w:rFonts w:asciiTheme="minorEastAsia" w:hAnsiTheme="minorEastAsia"/>
          <w:szCs w:val="21"/>
        </w:rPr>
      </w:pPr>
    </w:p>
    <w:p w:rsidR="000D452A" w:rsidRPr="00C442D3" w:rsidRDefault="00012048" w:rsidP="00C442D3">
      <w:pPr>
        <w:pStyle w:val="a3"/>
        <w:numPr>
          <w:ilvl w:val="0"/>
          <w:numId w:val="1"/>
        </w:numPr>
        <w:ind w:firstLineChars="0"/>
        <w:rPr>
          <w:rFonts w:asciiTheme="minorEastAsia" w:hAnsiTheme="minorEastAsia"/>
          <w:b/>
          <w:szCs w:val="21"/>
        </w:rPr>
      </w:pPr>
      <w:r w:rsidRPr="00C442D3">
        <w:rPr>
          <w:rFonts w:asciiTheme="minorEastAsia" w:hAnsiTheme="minorEastAsia" w:hint="eastAsia"/>
          <w:b/>
          <w:szCs w:val="21"/>
        </w:rPr>
        <w:t>树立正确的投资理念。</w:t>
      </w:r>
    </w:p>
    <w:p w:rsidR="000D452A" w:rsidRPr="00C442D3" w:rsidRDefault="00012048" w:rsidP="00C442D3">
      <w:pPr>
        <w:ind w:firstLineChars="200" w:firstLine="420"/>
        <w:rPr>
          <w:rFonts w:asciiTheme="minorEastAsia" w:hAnsiTheme="minorEastAsia"/>
          <w:szCs w:val="21"/>
        </w:rPr>
      </w:pPr>
      <w:r w:rsidRPr="00C442D3">
        <w:rPr>
          <w:rFonts w:asciiTheme="minorEastAsia" w:hAnsiTheme="minorEastAsia" w:hint="eastAsia"/>
          <w:szCs w:val="21"/>
        </w:rPr>
        <w:t>资管产品投资者需要</w:t>
      </w:r>
      <w:r w:rsidRPr="00C442D3">
        <w:rPr>
          <w:rFonts w:asciiTheme="minorEastAsia" w:hAnsiTheme="minorEastAsia" w:hint="eastAsia"/>
          <w:b/>
          <w:szCs w:val="21"/>
        </w:rPr>
        <w:t>自行决定投资决策</w:t>
      </w:r>
      <w:r w:rsidRPr="00C442D3">
        <w:rPr>
          <w:rFonts w:asciiTheme="minorEastAsia" w:hAnsiTheme="minorEastAsia" w:hint="eastAsia"/>
          <w:szCs w:val="21"/>
        </w:rPr>
        <w:t>，尤其是新手投资者更应树立正确的投资理念，不应盲目地听信他人、非理性地开展投资活动。必须知晓投资行为的买者自负、风险自担等原则。</w:t>
      </w:r>
    </w:p>
    <w:p w:rsidR="000D452A" w:rsidRPr="00C442D3" w:rsidRDefault="000D452A" w:rsidP="00C442D3">
      <w:pPr>
        <w:rPr>
          <w:rFonts w:asciiTheme="minorEastAsia" w:hAnsiTheme="minorEastAsia"/>
          <w:szCs w:val="21"/>
        </w:rPr>
      </w:pPr>
    </w:p>
    <w:p w:rsidR="000D452A" w:rsidRPr="00C442D3" w:rsidRDefault="00012048" w:rsidP="00C442D3">
      <w:pPr>
        <w:pStyle w:val="a3"/>
        <w:numPr>
          <w:ilvl w:val="0"/>
          <w:numId w:val="1"/>
        </w:numPr>
        <w:ind w:firstLineChars="0"/>
        <w:rPr>
          <w:rFonts w:asciiTheme="minorEastAsia" w:hAnsiTheme="minorEastAsia"/>
          <w:b/>
          <w:szCs w:val="21"/>
        </w:rPr>
      </w:pPr>
      <w:r w:rsidRPr="00C442D3">
        <w:rPr>
          <w:rFonts w:asciiTheme="minorEastAsia" w:hAnsiTheme="minorEastAsia" w:hint="eastAsia"/>
          <w:b/>
          <w:szCs w:val="21"/>
        </w:rPr>
        <w:t>明确产品风险特性。</w:t>
      </w:r>
    </w:p>
    <w:p w:rsidR="000D452A" w:rsidRPr="00C442D3" w:rsidRDefault="00012048" w:rsidP="00C442D3">
      <w:pPr>
        <w:ind w:firstLineChars="200" w:firstLine="420"/>
        <w:rPr>
          <w:rFonts w:asciiTheme="minorEastAsia" w:hAnsiTheme="minorEastAsia"/>
          <w:szCs w:val="21"/>
        </w:rPr>
      </w:pPr>
      <w:r w:rsidRPr="00C442D3">
        <w:rPr>
          <w:rFonts w:asciiTheme="minorEastAsia" w:hAnsiTheme="minorEastAsia" w:hint="eastAsia"/>
          <w:szCs w:val="21"/>
        </w:rPr>
        <w:t>资管产品</w:t>
      </w:r>
      <w:r w:rsidRPr="00C442D3">
        <w:rPr>
          <w:rFonts w:asciiTheme="minorEastAsia" w:hAnsiTheme="minorEastAsia" w:hint="eastAsia"/>
          <w:b/>
          <w:szCs w:val="21"/>
        </w:rPr>
        <w:t>投资有风险，切莫听信保本保收益</w:t>
      </w:r>
      <w:r w:rsidRPr="00C442D3">
        <w:rPr>
          <w:rFonts w:asciiTheme="minorEastAsia" w:hAnsiTheme="minorEastAsia" w:hint="eastAsia"/>
          <w:szCs w:val="21"/>
        </w:rPr>
        <w:t>。切勿被各种夸大、虚假宣传忽悠、蒙蔽，将风险时刻牢记于心。</w:t>
      </w:r>
    </w:p>
    <w:p w:rsidR="000D452A" w:rsidRPr="00C442D3" w:rsidRDefault="000D452A" w:rsidP="00C442D3">
      <w:pPr>
        <w:ind w:firstLineChars="200" w:firstLine="420"/>
        <w:rPr>
          <w:rFonts w:asciiTheme="minorEastAsia" w:hAnsiTheme="minorEastAsia"/>
          <w:szCs w:val="21"/>
        </w:rPr>
      </w:pPr>
    </w:p>
    <w:p w:rsidR="000D452A" w:rsidRPr="00C442D3" w:rsidRDefault="00012048" w:rsidP="00C442D3">
      <w:pPr>
        <w:pStyle w:val="a3"/>
        <w:numPr>
          <w:ilvl w:val="0"/>
          <w:numId w:val="1"/>
        </w:numPr>
        <w:ind w:firstLineChars="0"/>
        <w:rPr>
          <w:rFonts w:asciiTheme="minorEastAsia" w:hAnsiTheme="minorEastAsia"/>
          <w:b/>
          <w:szCs w:val="21"/>
        </w:rPr>
      </w:pPr>
      <w:r w:rsidRPr="00C442D3">
        <w:rPr>
          <w:rFonts w:asciiTheme="minorEastAsia" w:hAnsiTheme="minorEastAsia" w:hint="eastAsia"/>
          <w:b/>
          <w:szCs w:val="21"/>
        </w:rPr>
        <w:t>增强反洗钱意识，主动配合身份识别工作。</w:t>
      </w:r>
    </w:p>
    <w:p w:rsidR="000D452A" w:rsidRPr="00C442D3" w:rsidRDefault="00012048" w:rsidP="00C442D3">
      <w:pPr>
        <w:ind w:firstLineChars="200" w:firstLine="420"/>
        <w:rPr>
          <w:rFonts w:asciiTheme="minorEastAsia" w:hAnsiTheme="minorEastAsia"/>
          <w:szCs w:val="21"/>
        </w:rPr>
      </w:pPr>
      <w:r w:rsidRPr="00C442D3">
        <w:rPr>
          <w:rFonts w:asciiTheme="minorEastAsia" w:hAnsiTheme="minorEastAsia" w:hint="eastAsia"/>
          <w:szCs w:val="21"/>
        </w:rPr>
        <w:t>为避免他人盗用投资者名义进行洗钱等犯罪活动，</w:t>
      </w:r>
      <w:r w:rsidRPr="00C442D3">
        <w:rPr>
          <w:rFonts w:asciiTheme="minorEastAsia" w:hAnsiTheme="minorEastAsia" w:hint="eastAsia"/>
          <w:b/>
          <w:szCs w:val="21"/>
        </w:rPr>
        <w:t>增强反洗钱意识</w:t>
      </w:r>
      <w:r w:rsidRPr="00C442D3">
        <w:rPr>
          <w:rFonts w:asciiTheme="minorEastAsia" w:hAnsiTheme="minorEastAsia" w:hint="eastAsia"/>
          <w:szCs w:val="21"/>
        </w:rPr>
        <w:t>，投资者购买产品前以及持有产品份额期间，需配合进行身份识别，包括：出示有效身份证件、如实填写投资者信息、回答管理人的合理提问等措施。</w:t>
      </w:r>
    </w:p>
    <w:sectPr w:rsidR="000D452A" w:rsidRPr="00C442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9F8" w:rsidRDefault="000D39F8" w:rsidP="00C442D3">
      <w:r>
        <w:separator/>
      </w:r>
    </w:p>
  </w:endnote>
  <w:endnote w:type="continuationSeparator" w:id="0">
    <w:p w:rsidR="000D39F8" w:rsidRDefault="000D39F8" w:rsidP="00C4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9F8" w:rsidRDefault="000D39F8" w:rsidP="00C442D3">
      <w:r>
        <w:separator/>
      </w:r>
    </w:p>
  </w:footnote>
  <w:footnote w:type="continuationSeparator" w:id="0">
    <w:p w:rsidR="000D39F8" w:rsidRDefault="000D39F8" w:rsidP="00C44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31425"/>
    <w:multiLevelType w:val="multilevel"/>
    <w:tmpl w:val="DB306888"/>
    <w:lvl w:ilvl="0">
      <w:start w:val="1"/>
      <w:numFmt w:val="decimal"/>
      <w:lvlText w:val="（%1）"/>
      <w:lvlJc w:val="left"/>
      <w:pPr>
        <w:ind w:left="1996" w:hanging="720"/>
      </w:pPr>
      <w:rPr>
        <w:rFonts w:hint="default"/>
        <w:lang w:val="en-US"/>
      </w:rPr>
    </w:lvl>
    <w:lvl w:ilvl="1">
      <w:start w:val="1"/>
      <w:numFmt w:val="lowerLetter"/>
      <w:lvlText w:val="%2)"/>
      <w:lvlJc w:val="left"/>
      <w:pPr>
        <w:ind w:left="2116" w:hanging="420"/>
      </w:pPr>
    </w:lvl>
    <w:lvl w:ilvl="2">
      <w:start w:val="1"/>
      <w:numFmt w:val="lowerRoman"/>
      <w:lvlText w:val="%3."/>
      <w:lvlJc w:val="right"/>
      <w:pPr>
        <w:ind w:left="2536" w:hanging="420"/>
      </w:pPr>
    </w:lvl>
    <w:lvl w:ilvl="3">
      <w:start w:val="1"/>
      <w:numFmt w:val="decimal"/>
      <w:lvlText w:val="%4."/>
      <w:lvlJc w:val="left"/>
      <w:pPr>
        <w:ind w:left="2956" w:hanging="420"/>
      </w:pPr>
    </w:lvl>
    <w:lvl w:ilvl="4">
      <w:start w:val="1"/>
      <w:numFmt w:val="lowerLetter"/>
      <w:lvlText w:val="%5)"/>
      <w:lvlJc w:val="left"/>
      <w:pPr>
        <w:ind w:left="3376" w:hanging="420"/>
      </w:pPr>
    </w:lvl>
    <w:lvl w:ilvl="5">
      <w:start w:val="1"/>
      <w:numFmt w:val="lowerRoman"/>
      <w:lvlText w:val="%6."/>
      <w:lvlJc w:val="right"/>
      <w:pPr>
        <w:ind w:left="3796" w:hanging="420"/>
      </w:pPr>
    </w:lvl>
    <w:lvl w:ilvl="6">
      <w:start w:val="1"/>
      <w:numFmt w:val="decimal"/>
      <w:lvlText w:val="%7."/>
      <w:lvlJc w:val="left"/>
      <w:pPr>
        <w:ind w:left="4216" w:hanging="420"/>
      </w:pPr>
    </w:lvl>
    <w:lvl w:ilvl="7">
      <w:start w:val="1"/>
      <w:numFmt w:val="lowerLetter"/>
      <w:lvlText w:val="%8)"/>
      <w:lvlJc w:val="left"/>
      <w:pPr>
        <w:ind w:left="4636" w:hanging="420"/>
      </w:pPr>
    </w:lvl>
    <w:lvl w:ilvl="8">
      <w:start w:val="1"/>
      <w:numFmt w:val="lowerRoman"/>
      <w:lvlText w:val="%9."/>
      <w:lvlJc w:val="right"/>
      <w:pPr>
        <w:ind w:left="5056" w:hanging="420"/>
      </w:pPr>
    </w:lvl>
  </w:abstractNum>
  <w:abstractNum w:abstractNumId="1">
    <w:nsid w:val="65D6137B"/>
    <w:multiLevelType w:val="multilevel"/>
    <w:tmpl w:val="65D6137B"/>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EDE"/>
    <w:rsid w:val="00001A65"/>
    <w:rsid w:val="00012048"/>
    <w:rsid w:val="000A391E"/>
    <w:rsid w:val="000D39F8"/>
    <w:rsid w:val="000D452A"/>
    <w:rsid w:val="000D7DFE"/>
    <w:rsid w:val="001C33B9"/>
    <w:rsid w:val="001D4A90"/>
    <w:rsid w:val="001F4211"/>
    <w:rsid w:val="00220735"/>
    <w:rsid w:val="002C4C0B"/>
    <w:rsid w:val="002C504A"/>
    <w:rsid w:val="002D0450"/>
    <w:rsid w:val="003062A0"/>
    <w:rsid w:val="00316005"/>
    <w:rsid w:val="003A778A"/>
    <w:rsid w:val="003E6CEA"/>
    <w:rsid w:val="004070E2"/>
    <w:rsid w:val="004468A5"/>
    <w:rsid w:val="00481C22"/>
    <w:rsid w:val="004F6AA8"/>
    <w:rsid w:val="00555571"/>
    <w:rsid w:val="00571804"/>
    <w:rsid w:val="00582CE6"/>
    <w:rsid w:val="005C131F"/>
    <w:rsid w:val="005C3622"/>
    <w:rsid w:val="0065363E"/>
    <w:rsid w:val="006E5240"/>
    <w:rsid w:val="006F569A"/>
    <w:rsid w:val="00947E56"/>
    <w:rsid w:val="009B33BA"/>
    <w:rsid w:val="00A75EDE"/>
    <w:rsid w:val="00A8551A"/>
    <w:rsid w:val="00A977F8"/>
    <w:rsid w:val="00AE60C3"/>
    <w:rsid w:val="00AF5ACD"/>
    <w:rsid w:val="00BE1A91"/>
    <w:rsid w:val="00C043A3"/>
    <w:rsid w:val="00C24792"/>
    <w:rsid w:val="00C41E2C"/>
    <w:rsid w:val="00C442D3"/>
    <w:rsid w:val="00C901C9"/>
    <w:rsid w:val="00D0594A"/>
    <w:rsid w:val="00DD13B9"/>
    <w:rsid w:val="00DD3A9C"/>
    <w:rsid w:val="00DF7E97"/>
    <w:rsid w:val="00E54760"/>
    <w:rsid w:val="00E54F06"/>
    <w:rsid w:val="00E754FB"/>
    <w:rsid w:val="00E94493"/>
    <w:rsid w:val="00F37A3E"/>
    <w:rsid w:val="00F555C2"/>
    <w:rsid w:val="00FF64DA"/>
    <w:rsid w:val="6CFF5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E65001-3171-40CC-BD4F-4DD958F0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Balloon Text"/>
    <w:basedOn w:val="a"/>
    <w:link w:val="Char"/>
    <w:uiPriority w:val="99"/>
    <w:semiHidden/>
    <w:unhideWhenUsed/>
    <w:rsid w:val="004F6AA8"/>
    <w:rPr>
      <w:sz w:val="18"/>
      <w:szCs w:val="18"/>
    </w:rPr>
  </w:style>
  <w:style w:type="character" w:customStyle="1" w:styleId="Char">
    <w:name w:val="批注框文本 Char"/>
    <w:basedOn w:val="a0"/>
    <w:link w:val="a4"/>
    <w:uiPriority w:val="99"/>
    <w:semiHidden/>
    <w:rsid w:val="004F6AA8"/>
    <w:rPr>
      <w:kern w:val="2"/>
      <w:sz w:val="18"/>
      <w:szCs w:val="18"/>
    </w:rPr>
  </w:style>
  <w:style w:type="paragraph" w:styleId="a5">
    <w:name w:val="header"/>
    <w:basedOn w:val="a"/>
    <w:link w:val="Char0"/>
    <w:uiPriority w:val="99"/>
    <w:unhideWhenUsed/>
    <w:rsid w:val="00C442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442D3"/>
    <w:rPr>
      <w:kern w:val="2"/>
      <w:sz w:val="18"/>
      <w:szCs w:val="18"/>
    </w:rPr>
  </w:style>
  <w:style w:type="paragraph" w:styleId="a6">
    <w:name w:val="footer"/>
    <w:basedOn w:val="a"/>
    <w:link w:val="Char1"/>
    <w:uiPriority w:val="99"/>
    <w:unhideWhenUsed/>
    <w:rsid w:val="00C442D3"/>
    <w:pPr>
      <w:tabs>
        <w:tab w:val="center" w:pos="4153"/>
        <w:tab w:val="right" w:pos="8306"/>
      </w:tabs>
      <w:snapToGrid w:val="0"/>
      <w:jc w:val="left"/>
    </w:pPr>
    <w:rPr>
      <w:sz w:val="18"/>
      <w:szCs w:val="18"/>
    </w:rPr>
  </w:style>
  <w:style w:type="character" w:customStyle="1" w:styleId="Char1">
    <w:name w:val="页脚 Char"/>
    <w:basedOn w:val="a0"/>
    <w:link w:val="a6"/>
    <w:uiPriority w:val="99"/>
    <w:rsid w:val="00C442D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222</Words>
  <Characters>1271</Characters>
  <Application>Microsoft Office Word</Application>
  <DocSecurity>0</DocSecurity>
  <Lines>10</Lines>
  <Paragraphs>2</Paragraphs>
  <ScaleCrop>false</ScaleCrop>
  <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feiqinwen</dc:creator>
  <cp:lastModifiedBy>邵青</cp:lastModifiedBy>
  <cp:revision>250</cp:revision>
  <dcterms:created xsi:type="dcterms:W3CDTF">2018-03-14T05:39:00Z</dcterms:created>
  <dcterms:modified xsi:type="dcterms:W3CDTF">2020-05-19T05:38:00Z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