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0B4" w:rsidRDefault="00D030B4">
      <w:pPr>
        <w:jc w:val="center"/>
        <w:rPr>
          <w:rFonts w:ascii="黑体" w:eastAsia="黑体" w:hAnsi="黑体"/>
          <w:b/>
          <w:sz w:val="36"/>
        </w:rPr>
      </w:pPr>
    </w:p>
    <w:p w:rsidR="00D030B4" w:rsidRDefault="00495907">
      <w:pPr>
        <w:jc w:val="center"/>
        <w:rPr>
          <w:rFonts w:ascii="黑体" w:eastAsia="黑体" w:hAnsi="黑体"/>
          <w:b/>
          <w:sz w:val="36"/>
        </w:rPr>
      </w:pPr>
      <w:r>
        <w:rPr>
          <w:rFonts w:ascii="黑体" w:eastAsia="黑体" w:hAnsi="黑体" w:hint="eastAsia"/>
          <w:b/>
          <w:sz w:val="36"/>
        </w:rPr>
        <w:t>铜仁供水公司供水合同债权资产支持专项计划</w:t>
      </w:r>
    </w:p>
    <w:p w:rsidR="00B434F4" w:rsidRDefault="004437AA">
      <w:pPr>
        <w:jc w:val="center"/>
        <w:rPr>
          <w:rFonts w:ascii="黑体" w:eastAsia="黑体" w:hAnsi="黑体"/>
          <w:b/>
          <w:sz w:val="36"/>
        </w:rPr>
      </w:pPr>
      <w:r>
        <w:rPr>
          <w:rFonts w:ascii="黑体" w:eastAsia="黑体" w:hAnsi="黑体" w:hint="eastAsia"/>
          <w:b/>
          <w:sz w:val="36"/>
        </w:rPr>
        <w:t>成立公告</w:t>
      </w:r>
    </w:p>
    <w:p w:rsidR="00D030B4" w:rsidRDefault="00D030B4">
      <w:pPr>
        <w:jc w:val="center"/>
        <w:rPr>
          <w:rFonts w:ascii="黑体" w:eastAsia="黑体" w:hAnsi="黑体"/>
          <w:b/>
          <w:sz w:val="36"/>
        </w:rPr>
      </w:pPr>
    </w:p>
    <w:p w:rsidR="00B434F4" w:rsidRDefault="004437AA" w:rsidP="00D030B4">
      <w:pPr>
        <w:ind w:firstLineChars="200" w:firstLine="560"/>
        <w:rPr>
          <w:sz w:val="28"/>
          <w:szCs w:val="28"/>
        </w:rPr>
      </w:pPr>
      <w:r>
        <w:rPr>
          <w:rFonts w:hint="eastAsia"/>
          <w:sz w:val="28"/>
          <w:szCs w:val="28"/>
        </w:rPr>
        <w:t>根据</w:t>
      </w:r>
      <w:r w:rsidR="00495907">
        <w:rPr>
          <w:rFonts w:hint="eastAsia"/>
          <w:sz w:val="28"/>
          <w:szCs w:val="28"/>
        </w:rPr>
        <w:t>上海</w:t>
      </w:r>
      <w:r>
        <w:rPr>
          <w:rFonts w:hint="eastAsia"/>
          <w:sz w:val="28"/>
          <w:szCs w:val="28"/>
        </w:rPr>
        <w:t>证券交易所于</w:t>
      </w:r>
      <w:r>
        <w:rPr>
          <w:rFonts w:hint="eastAsia"/>
          <w:sz w:val="28"/>
          <w:szCs w:val="28"/>
        </w:rPr>
        <w:t>201</w:t>
      </w:r>
      <w:r w:rsidR="00495907">
        <w:rPr>
          <w:rFonts w:hint="eastAsia"/>
          <w:sz w:val="28"/>
          <w:szCs w:val="28"/>
        </w:rPr>
        <w:t>6</w:t>
      </w:r>
      <w:r>
        <w:rPr>
          <w:rFonts w:hint="eastAsia"/>
          <w:sz w:val="28"/>
          <w:szCs w:val="28"/>
        </w:rPr>
        <w:t>年</w:t>
      </w:r>
      <w:r w:rsidR="00495907">
        <w:rPr>
          <w:rFonts w:hint="eastAsia"/>
          <w:sz w:val="28"/>
          <w:szCs w:val="28"/>
        </w:rPr>
        <w:t>3</w:t>
      </w:r>
      <w:r>
        <w:rPr>
          <w:rFonts w:hint="eastAsia"/>
          <w:sz w:val="28"/>
          <w:szCs w:val="28"/>
        </w:rPr>
        <w:t>月</w:t>
      </w:r>
      <w:r>
        <w:rPr>
          <w:rFonts w:hint="eastAsia"/>
          <w:sz w:val="28"/>
          <w:szCs w:val="28"/>
        </w:rPr>
        <w:t>1</w:t>
      </w:r>
      <w:r>
        <w:rPr>
          <w:rFonts w:hint="eastAsia"/>
          <w:sz w:val="28"/>
          <w:szCs w:val="28"/>
        </w:rPr>
        <w:t>日出具的《</w:t>
      </w:r>
      <w:r w:rsidR="00DC1297">
        <w:rPr>
          <w:rFonts w:hint="eastAsia"/>
          <w:sz w:val="28"/>
          <w:szCs w:val="28"/>
        </w:rPr>
        <w:t>关于对铜仁供水公司供水合同债权资产支持证券挂牌转让无异议的函</w:t>
      </w:r>
      <w:r>
        <w:rPr>
          <w:rFonts w:hint="eastAsia"/>
          <w:sz w:val="28"/>
          <w:szCs w:val="28"/>
        </w:rPr>
        <w:t>》（</w:t>
      </w:r>
      <w:proofErr w:type="gramStart"/>
      <w:r w:rsidR="00495907">
        <w:rPr>
          <w:rFonts w:hint="eastAsia"/>
          <w:sz w:val="28"/>
          <w:szCs w:val="28"/>
        </w:rPr>
        <w:t>上</w:t>
      </w:r>
      <w:r>
        <w:rPr>
          <w:rFonts w:hint="eastAsia"/>
          <w:sz w:val="28"/>
          <w:szCs w:val="28"/>
        </w:rPr>
        <w:t>证函</w:t>
      </w:r>
      <w:proofErr w:type="gramEnd"/>
      <w:r>
        <w:rPr>
          <w:rFonts w:hint="eastAsia"/>
          <w:sz w:val="28"/>
          <w:szCs w:val="28"/>
        </w:rPr>
        <w:t>[201</w:t>
      </w:r>
      <w:r w:rsidR="00495907">
        <w:rPr>
          <w:rFonts w:hint="eastAsia"/>
          <w:sz w:val="28"/>
          <w:szCs w:val="28"/>
        </w:rPr>
        <w:t>6</w:t>
      </w:r>
      <w:r>
        <w:rPr>
          <w:rFonts w:hint="eastAsia"/>
          <w:sz w:val="28"/>
          <w:szCs w:val="28"/>
        </w:rPr>
        <w:t>]</w:t>
      </w:r>
      <w:r w:rsidR="00495907">
        <w:rPr>
          <w:rFonts w:hint="eastAsia"/>
          <w:sz w:val="28"/>
          <w:szCs w:val="28"/>
        </w:rPr>
        <w:t>303</w:t>
      </w:r>
      <w:r w:rsidR="00495907">
        <w:rPr>
          <w:rFonts w:hint="eastAsia"/>
          <w:sz w:val="28"/>
          <w:szCs w:val="28"/>
        </w:rPr>
        <w:t>号</w:t>
      </w:r>
      <w:r>
        <w:rPr>
          <w:rFonts w:hint="eastAsia"/>
          <w:sz w:val="28"/>
          <w:szCs w:val="28"/>
        </w:rPr>
        <w:t>），由东海瑞京资产管理（上海）有限公司担任资产管理人的“</w:t>
      </w:r>
      <w:r w:rsidR="00495907">
        <w:rPr>
          <w:rFonts w:hint="eastAsia"/>
          <w:sz w:val="28"/>
          <w:szCs w:val="28"/>
        </w:rPr>
        <w:t>铜仁供水公司供水合同债权资产支持专项计划</w:t>
      </w:r>
      <w:r>
        <w:rPr>
          <w:rFonts w:hint="eastAsia"/>
          <w:sz w:val="28"/>
          <w:szCs w:val="28"/>
        </w:rPr>
        <w:t>”（以下简称“本专项计划”）在</w:t>
      </w:r>
      <w:r>
        <w:rPr>
          <w:rFonts w:hint="eastAsia"/>
          <w:sz w:val="28"/>
          <w:szCs w:val="28"/>
        </w:rPr>
        <w:t>2016</w:t>
      </w:r>
      <w:r>
        <w:rPr>
          <w:rFonts w:hint="eastAsia"/>
          <w:sz w:val="28"/>
          <w:szCs w:val="28"/>
        </w:rPr>
        <w:t>年</w:t>
      </w:r>
      <w:r w:rsidR="00495907">
        <w:rPr>
          <w:rFonts w:hint="eastAsia"/>
          <w:sz w:val="28"/>
          <w:szCs w:val="28"/>
        </w:rPr>
        <w:t>5</w:t>
      </w:r>
      <w:r>
        <w:rPr>
          <w:rFonts w:hint="eastAsia"/>
          <w:sz w:val="28"/>
          <w:szCs w:val="28"/>
        </w:rPr>
        <w:t>月</w:t>
      </w:r>
      <w:r w:rsidR="00495907">
        <w:rPr>
          <w:rFonts w:hint="eastAsia"/>
          <w:sz w:val="28"/>
          <w:szCs w:val="28"/>
        </w:rPr>
        <w:t>3</w:t>
      </w:r>
      <w:r>
        <w:rPr>
          <w:rFonts w:hint="eastAsia"/>
          <w:sz w:val="28"/>
          <w:szCs w:val="28"/>
        </w:rPr>
        <w:t>日进行初始销售，并于当天顺利结束。</w:t>
      </w:r>
    </w:p>
    <w:p w:rsidR="00495907" w:rsidRDefault="00495907" w:rsidP="00495907">
      <w:pPr>
        <w:ind w:firstLineChars="200" w:firstLine="560"/>
        <w:rPr>
          <w:sz w:val="28"/>
          <w:szCs w:val="28"/>
        </w:rPr>
      </w:pPr>
      <w:r>
        <w:rPr>
          <w:rFonts w:hint="eastAsia"/>
          <w:sz w:val="28"/>
          <w:szCs w:val="28"/>
        </w:rPr>
        <w:t>经天职国际会计师事务所（特殊普通合伙）验资（</w:t>
      </w:r>
      <w:proofErr w:type="gramStart"/>
      <w:r>
        <w:rPr>
          <w:rFonts w:hint="eastAsia"/>
          <w:sz w:val="28"/>
          <w:szCs w:val="28"/>
        </w:rPr>
        <w:t>天职业字</w:t>
      </w:r>
      <w:proofErr w:type="gramEnd"/>
      <w:r>
        <w:rPr>
          <w:rFonts w:hint="eastAsia"/>
          <w:sz w:val="28"/>
          <w:szCs w:val="28"/>
        </w:rPr>
        <w:t>[2016]11555</w:t>
      </w:r>
      <w:r>
        <w:rPr>
          <w:rFonts w:hint="eastAsia"/>
          <w:sz w:val="28"/>
          <w:szCs w:val="28"/>
        </w:rPr>
        <w:t>号），本专项计划在初始销售期共募集认购款人民币</w:t>
      </w:r>
      <w:r>
        <w:rPr>
          <w:rFonts w:hint="eastAsia"/>
          <w:sz w:val="28"/>
          <w:szCs w:val="28"/>
        </w:rPr>
        <w:t>205,000,000.00</w:t>
      </w:r>
      <w:r>
        <w:rPr>
          <w:rFonts w:hint="eastAsia"/>
          <w:sz w:val="28"/>
          <w:szCs w:val="28"/>
        </w:rPr>
        <w:t>元，按照每份初始销售面值人民币</w:t>
      </w:r>
      <w:r>
        <w:rPr>
          <w:rFonts w:hint="eastAsia"/>
          <w:sz w:val="28"/>
          <w:szCs w:val="28"/>
        </w:rPr>
        <w:t>100.00</w:t>
      </w:r>
      <w:r>
        <w:rPr>
          <w:rFonts w:hint="eastAsia"/>
          <w:sz w:val="28"/>
          <w:szCs w:val="28"/>
        </w:rPr>
        <w:t>元计算，本专项计划初始销售共募集</w:t>
      </w:r>
      <w:r>
        <w:rPr>
          <w:rFonts w:hint="eastAsia"/>
          <w:sz w:val="28"/>
          <w:szCs w:val="28"/>
        </w:rPr>
        <w:t>2,05</w:t>
      </w:r>
      <w:r>
        <w:rPr>
          <w:sz w:val="28"/>
          <w:szCs w:val="28"/>
        </w:rPr>
        <w:t>0</w:t>
      </w:r>
      <w:r>
        <w:rPr>
          <w:rFonts w:hint="eastAsia"/>
          <w:sz w:val="28"/>
          <w:szCs w:val="28"/>
        </w:rPr>
        <w:t>,</w:t>
      </w:r>
      <w:r>
        <w:rPr>
          <w:sz w:val="28"/>
          <w:szCs w:val="28"/>
        </w:rPr>
        <w:t>000</w:t>
      </w:r>
      <w:r>
        <w:rPr>
          <w:rFonts w:hint="eastAsia"/>
          <w:sz w:val="28"/>
          <w:szCs w:val="28"/>
        </w:rPr>
        <w:t>.00</w:t>
      </w:r>
      <w:r>
        <w:rPr>
          <w:rFonts w:hint="eastAsia"/>
          <w:sz w:val="28"/>
          <w:szCs w:val="28"/>
        </w:rPr>
        <w:t>份，有效参与户数为</w:t>
      </w:r>
      <w:r>
        <w:rPr>
          <w:rFonts w:hint="eastAsia"/>
          <w:sz w:val="28"/>
          <w:szCs w:val="28"/>
        </w:rPr>
        <w:t>5</w:t>
      </w:r>
      <w:r>
        <w:rPr>
          <w:rFonts w:hint="eastAsia"/>
          <w:sz w:val="28"/>
          <w:szCs w:val="28"/>
        </w:rPr>
        <w:t>户。</w:t>
      </w:r>
    </w:p>
    <w:p w:rsidR="00B434F4" w:rsidRDefault="004437AA">
      <w:pPr>
        <w:ind w:firstLineChars="200" w:firstLine="560"/>
        <w:rPr>
          <w:sz w:val="28"/>
          <w:szCs w:val="28"/>
        </w:rPr>
      </w:pPr>
      <w:r>
        <w:rPr>
          <w:rFonts w:hint="eastAsia"/>
          <w:sz w:val="28"/>
          <w:szCs w:val="28"/>
        </w:rPr>
        <w:t>募集资金专户中的金额已经达到《</w:t>
      </w:r>
      <w:r w:rsidR="00495907">
        <w:rPr>
          <w:rFonts w:hint="eastAsia"/>
          <w:sz w:val="28"/>
          <w:szCs w:val="28"/>
        </w:rPr>
        <w:t>铜仁供水公司供水合同债权资产支持专项计划</w:t>
      </w:r>
      <w:r>
        <w:rPr>
          <w:rFonts w:hint="eastAsia"/>
          <w:sz w:val="28"/>
          <w:szCs w:val="28"/>
        </w:rPr>
        <w:t>说明书》约定的专项计划目标募集金额，于</w:t>
      </w:r>
      <w:r>
        <w:rPr>
          <w:rFonts w:hint="eastAsia"/>
          <w:sz w:val="28"/>
          <w:szCs w:val="28"/>
        </w:rPr>
        <w:t>2016</w:t>
      </w:r>
      <w:r>
        <w:rPr>
          <w:rFonts w:hint="eastAsia"/>
          <w:sz w:val="28"/>
          <w:szCs w:val="28"/>
        </w:rPr>
        <w:t>年</w:t>
      </w:r>
      <w:r w:rsidR="00495907">
        <w:rPr>
          <w:rFonts w:hint="eastAsia"/>
          <w:sz w:val="28"/>
          <w:szCs w:val="28"/>
        </w:rPr>
        <w:t>5</w:t>
      </w:r>
      <w:r>
        <w:rPr>
          <w:rFonts w:hint="eastAsia"/>
          <w:sz w:val="28"/>
          <w:szCs w:val="28"/>
        </w:rPr>
        <w:t>月</w:t>
      </w:r>
      <w:r w:rsidR="00495907">
        <w:rPr>
          <w:rFonts w:hint="eastAsia"/>
          <w:sz w:val="28"/>
          <w:szCs w:val="28"/>
        </w:rPr>
        <w:t>4</w:t>
      </w:r>
      <w:r>
        <w:rPr>
          <w:rFonts w:hint="eastAsia"/>
          <w:sz w:val="28"/>
          <w:szCs w:val="28"/>
        </w:rPr>
        <w:t>日已全部划入资产管理计划托管人</w:t>
      </w:r>
      <w:r w:rsidR="00495907" w:rsidRPr="00495907">
        <w:rPr>
          <w:rFonts w:hint="eastAsia"/>
          <w:sz w:val="28"/>
          <w:szCs w:val="28"/>
        </w:rPr>
        <w:t>中国工商银行股份有限公司</w:t>
      </w:r>
      <w:r>
        <w:rPr>
          <w:rFonts w:hint="eastAsia"/>
          <w:sz w:val="28"/>
          <w:szCs w:val="28"/>
        </w:rPr>
        <w:t>开立的</w:t>
      </w:r>
      <w:r w:rsidR="00495907">
        <w:rPr>
          <w:rFonts w:hint="eastAsia"/>
          <w:sz w:val="28"/>
          <w:szCs w:val="28"/>
        </w:rPr>
        <w:t>铜仁供水公司供水合同债权资产支持专项计划</w:t>
      </w:r>
      <w:r>
        <w:rPr>
          <w:rFonts w:hint="eastAsia"/>
          <w:sz w:val="28"/>
          <w:szCs w:val="28"/>
        </w:rPr>
        <w:t>托管专户。</w:t>
      </w:r>
    </w:p>
    <w:p w:rsidR="00B434F4" w:rsidRDefault="004437AA" w:rsidP="00D030B4">
      <w:pPr>
        <w:ind w:firstLineChars="200" w:firstLine="560"/>
        <w:rPr>
          <w:rFonts w:ascii="楷体" w:eastAsia="楷体" w:hAnsi="楷体"/>
          <w:sz w:val="28"/>
          <w:szCs w:val="28"/>
        </w:rPr>
      </w:pPr>
      <w:r>
        <w:rPr>
          <w:rFonts w:hint="eastAsia"/>
          <w:sz w:val="28"/>
          <w:szCs w:val="28"/>
        </w:rPr>
        <w:t>根据《中华人民共和国证券投资基金法》、《基金管理公司特定客户资产管理业务试点办法》、《基金管理公司子公司管理暂行规定》等相关法律、法规的规定以及本专项计划的《标准条款》、《计划说明书》等相关协议约定，</w:t>
      </w:r>
      <w:proofErr w:type="gramStart"/>
      <w:r>
        <w:rPr>
          <w:rFonts w:hint="eastAsia"/>
          <w:sz w:val="28"/>
          <w:szCs w:val="28"/>
        </w:rPr>
        <w:t>本资产</w:t>
      </w:r>
      <w:proofErr w:type="gramEnd"/>
      <w:r>
        <w:rPr>
          <w:rFonts w:hint="eastAsia"/>
          <w:sz w:val="28"/>
          <w:szCs w:val="28"/>
        </w:rPr>
        <w:t>管理计划已符合成立条件，于</w:t>
      </w:r>
      <w:r>
        <w:rPr>
          <w:rFonts w:hint="eastAsia"/>
          <w:sz w:val="28"/>
          <w:szCs w:val="28"/>
        </w:rPr>
        <w:t>2016</w:t>
      </w:r>
      <w:r>
        <w:rPr>
          <w:rFonts w:hint="eastAsia"/>
          <w:sz w:val="28"/>
          <w:szCs w:val="28"/>
        </w:rPr>
        <w:t>年</w:t>
      </w:r>
      <w:r w:rsidR="00495907">
        <w:rPr>
          <w:rFonts w:hint="eastAsia"/>
          <w:sz w:val="28"/>
          <w:szCs w:val="28"/>
        </w:rPr>
        <w:t>5</w:t>
      </w:r>
      <w:r>
        <w:rPr>
          <w:rFonts w:hint="eastAsia"/>
          <w:sz w:val="28"/>
          <w:szCs w:val="28"/>
        </w:rPr>
        <w:t>月</w:t>
      </w:r>
      <w:r w:rsidR="00495907">
        <w:rPr>
          <w:rFonts w:hint="eastAsia"/>
          <w:sz w:val="28"/>
          <w:szCs w:val="28"/>
        </w:rPr>
        <w:t>4</w:t>
      </w:r>
      <w:r>
        <w:rPr>
          <w:rFonts w:hint="eastAsia"/>
          <w:sz w:val="28"/>
          <w:szCs w:val="28"/>
        </w:rPr>
        <w:t>日成立。自成立日起，资产管理人东海瑞京资产管理（上海）有限公司正式开始管理本专项计划。</w:t>
      </w:r>
    </w:p>
    <w:p w:rsidR="00B434F4" w:rsidRDefault="004437AA" w:rsidP="00D030B4">
      <w:pPr>
        <w:ind w:firstLineChars="200" w:firstLine="562"/>
        <w:rPr>
          <w:rFonts w:asciiTheme="minorEastAsia" w:hAnsiTheme="minorEastAsia"/>
          <w:b/>
          <w:sz w:val="28"/>
          <w:szCs w:val="28"/>
        </w:rPr>
      </w:pPr>
      <w:r>
        <w:rPr>
          <w:rFonts w:asciiTheme="minorEastAsia" w:hAnsiTheme="minorEastAsia" w:hint="eastAsia"/>
          <w:b/>
          <w:sz w:val="28"/>
          <w:szCs w:val="28"/>
        </w:rPr>
        <w:lastRenderedPageBreak/>
        <w:t>一、本专项计划基本情况</w:t>
      </w:r>
    </w:p>
    <w:tbl>
      <w:tblPr>
        <w:tblStyle w:val="a6"/>
        <w:tblW w:w="5000" w:type="pct"/>
        <w:jc w:val="center"/>
        <w:tblLook w:val="04A0" w:firstRow="1" w:lastRow="0" w:firstColumn="1" w:lastColumn="0" w:noHBand="0" w:noVBand="1"/>
      </w:tblPr>
      <w:tblGrid>
        <w:gridCol w:w="3085"/>
        <w:gridCol w:w="2498"/>
        <w:gridCol w:w="1874"/>
        <w:gridCol w:w="2654"/>
        <w:gridCol w:w="1877"/>
        <w:gridCol w:w="3626"/>
      </w:tblGrid>
      <w:tr w:rsidR="00B434F4" w:rsidTr="00D030B4">
        <w:trPr>
          <w:trHeight w:val="328"/>
          <w:jc w:val="center"/>
        </w:trPr>
        <w:tc>
          <w:tcPr>
            <w:tcW w:w="988" w:type="pct"/>
          </w:tcPr>
          <w:p w:rsidR="00B434F4" w:rsidRDefault="004437AA" w:rsidP="00D030B4">
            <w:pPr>
              <w:jc w:val="center"/>
              <w:rPr>
                <w:rFonts w:asciiTheme="minorEastAsia" w:hAnsiTheme="minorEastAsia"/>
                <w:sz w:val="28"/>
                <w:szCs w:val="28"/>
              </w:rPr>
            </w:pPr>
            <w:r>
              <w:rPr>
                <w:rFonts w:asciiTheme="minorEastAsia" w:hAnsiTheme="minorEastAsia" w:hint="eastAsia"/>
                <w:sz w:val="28"/>
                <w:szCs w:val="28"/>
              </w:rPr>
              <w:t>产品序列</w:t>
            </w:r>
          </w:p>
        </w:tc>
        <w:tc>
          <w:tcPr>
            <w:tcW w:w="800" w:type="pct"/>
          </w:tcPr>
          <w:p w:rsidR="00B434F4" w:rsidRDefault="004437AA" w:rsidP="00D030B4">
            <w:pPr>
              <w:jc w:val="center"/>
              <w:rPr>
                <w:rFonts w:asciiTheme="minorEastAsia" w:hAnsiTheme="minorEastAsia"/>
                <w:sz w:val="28"/>
                <w:szCs w:val="28"/>
              </w:rPr>
            </w:pPr>
            <w:r>
              <w:rPr>
                <w:rFonts w:asciiTheme="minorEastAsia" w:hAnsiTheme="minorEastAsia" w:hint="eastAsia"/>
                <w:sz w:val="28"/>
                <w:szCs w:val="28"/>
              </w:rPr>
              <w:t>预期期限（年）</w:t>
            </w:r>
          </w:p>
        </w:tc>
        <w:tc>
          <w:tcPr>
            <w:tcW w:w="600" w:type="pct"/>
          </w:tcPr>
          <w:p w:rsidR="00B434F4" w:rsidRDefault="004437AA" w:rsidP="00D030B4">
            <w:pPr>
              <w:jc w:val="center"/>
              <w:rPr>
                <w:rFonts w:asciiTheme="minorEastAsia" w:hAnsiTheme="minorEastAsia"/>
                <w:sz w:val="28"/>
                <w:szCs w:val="28"/>
              </w:rPr>
            </w:pPr>
            <w:r>
              <w:rPr>
                <w:rFonts w:asciiTheme="minorEastAsia" w:hAnsiTheme="minorEastAsia" w:hint="eastAsia"/>
                <w:sz w:val="28"/>
                <w:szCs w:val="28"/>
              </w:rPr>
              <w:t>预期收益率</w:t>
            </w:r>
          </w:p>
        </w:tc>
        <w:tc>
          <w:tcPr>
            <w:tcW w:w="850" w:type="pct"/>
          </w:tcPr>
          <w:p w:rsidR="00B434F4" w:rsidRDefault="004437AA" w:rsidP="00D030B4">
            <w:pPr>
              <w:jc w:val="center"/>
              <w:rPr>
                <w:rFonts w:asciiTheme="minorEastAsia" w:hAnsiTheme="minorEastAsia"/>
                <w:sz w:val="28"/>
                <w:szCs w:val="28"/>
              </w:rPr>
            </w:pPr>
            <w:r>
              <w:rPr>
                <w:rFonts w:asciiTheme="minorEastAsia" w:hAnsiTheme="minorEastAsia" w:hint="eastAsia"/>
                <w:sz w:val="28"/>
                <w:szCs w:val="28"/>
              </w:rPr>
              <w:t>发行规模（</w:t>
            </w:r>
            <w:r w:rsidR="008A713C">
              <w:rPr>
                <w:rFonts w:asciiTheme="minorEastAsia" w:hAnsiTheme="minorEastAsia" w:hint="eastAsia"/>
                <w:sz w:val="28"/>
                <w:szCs w:val="28"/>
              </w:rPr>
              <w:t>万</w:t>
            </w:r>
            <w:r>
              <w:rPr>
                <w:rFonts w:asciiTheme="minorEastAsia" w:hAnsiTheme="minorEastAsia" w:hint="eastAsia"/>
                <w:sz w:val="28"/>
                <w:szCs w:val="28"/>
              </w:rPr>
              <w:t>元）</w:t>
            </w:r>
          </w:p>
        </w:tc>
        <w:tc>
          <w:tcPr>
            <w:tcW w:w="601" w:type="pct"/>
          </w:tcPr>
          <w:p w:rsidR="00B434F4" w:rsidRDefault="004437AA" w:rsidP="00D030B4">
            <w:pPr>
              <w:jc w:val="center"/>
              <w:rPr>
                <w:rFonts w:asciiTheme="minorEastAsia" w:hAnsiTheme="minorEastAsia"/>
                <w:sz w:val="28"/>
                <w:szCs w:val="28"/>
              </w:rPr>
            </w:pPr>
            <w:r>
              <w:rPr>
                <w:rFonts w:asciiTheme="minorEastAsia" w:hAnsiTheme="minorEastAsia" w:hint="eastAsia"/>
                <w:sz w:val="28"/>
                <w:szCs w:val="28"/>
              </w:rPr>
              <w:t>面值（元）</w:t>
            </w:r>
          </w:p>
        </w:tc>
        <w:tc>
          <w:tcPr>
            <w:tcW w:w="1161" w:type="pct"/>
          </w:tcPr>
          <w:p w:rsidR="00B434F4" w:rsidRDefault="004437AA" w:rsidP="00D030B4">
            <w:pPr>
              <w:jc w:val="center"/>
              <w:rPr>
                <w:rFonts w:asciiTheme="minorEastAsia" w:hAnsiTheme="minorEastAsia"/>
                <w:sz w:val="28"/>
                <w:szCs w:val="28"/>
              </w:rPr>
            </w:pPr>
            <w:r>
              <w:rPr>
                <w:rFonts w:asciiTheme="minorEastAsia" w:hAnsiTheme="minorEastAsia" w:hint="eastAsia"/>
                <w:sz w:val="28"/>
                <w:szCs w:val="28"/>
              </w:rPr>
              <w:t>还本付息方式</w:t>
            </w:r>
          </w:p>
        </w:tc>
      </w:tr>
      <w:tr w:rsidR="001E445C" w:rsidTr="00D030B4">
        <w:trPr>
          <w:trHeight w:val="132"/>
          <w:jc w:val="center"/>
        </w:trPr>
        <w:tc>
          <w:tcPr>
            <w:tcW w:w="988" w:type="pct"/>
            <w:vAlign w:val="center"/>
          </w:tcPr>
          <w:p w:rsidR="001E445C" w:rsidRDefault="001E445C" w:rsidP="00D030B4">
            <w:pPr>
              <w:jc w:val="center"/>
              <w:rPr>
                <w:rFonts w:asciiTheme="minorEastAsia" w:hAnsiTheme="minorEastAsia"/>
                <w:sz w:val="28"/>
                <w:szCs w:val="28"/>
              </w:rPr>
            </w:pPr>
            <w:r w:rsidRPr="001E445C">
              <w:rPr>
                <w:rFonts w:asciiTheme="minorEastAsia" w:hAnsiTheme="minorEastAsia" w:hint="eastAsia"/>
                <w:sz w:val="28"/>
                <w:szCs w:val="28"/>
              </w:rPr>
              <w:t>铜仁供水优先01档</w:t>
            </w:r>
          </w:p>
        </w:tc>
        <w:tc>
          <w:tcPr>
            <w:tcW w:w="800" w:type="pct"/>
            <w:vAlign w:val="center"/>
          </w:tcPr>
          <w:p w:rsidR="001E445C" w:rsidRDefault="001E445C" w:rsidP="00D030B4">
            <w:pPr>
              <w:jc w:val="center"/>
              <w:rPr>
                <w:rFonts w:asciiTheme="minorEastAsia" w:hAnsiTheme="minorEastAsia"/>
                <w:sz w:val="28"/>
                <w:szCs w:val="28"/>
              </w:rPr>
            </w:pPr>
            <w:r w:rsidRPr="001E445C">
              <w:rPr>
                <w:rFonts w:asciiTheme="minorEastAsia" w:hAnsiTheme="minorEastAsia" w:hint="eastAsia"/>
                <w:sz w:val="28"/>
                <w:szCs w:val="28"/>
              </w:rPr>
              <w:t>1</w:t>
            </w:r>
          </w:p>
        </w:tc>
        <w:tc>
          <w:tcPr>
            <w:tcW w:w="600" w:type="pct"/>
            <w:vAlign w:val="center"/>
          </w:tcPr>
          <w:p w:rsidR="001E445C" w:rsidRDefault="001E445C" w:rsidP="00D030B4">
            <w:pPr>
              <w:jc w:val="center"/>
              <w:rPr>
                <w:rFonts w:asciiTheme="minorEastAsia" w:hAnsiTheme="minorEastAsia"/>
                <w:sz w:val="28"/>
                <w:szCs w:val="28"/>
              </w:rPr>
            </w:pPr>
            <w:r w:rsidRPr="001E445C">
              <w:rPr>
                <w:rFonts w:asciiTheme="minorEastAsia" w:hAnsiTheme="minorEastAsia" w:hint="eastAsia"/>
                <w:sz w:val="28"/>
                <w:szCs w:val="28"/>
              </w:rPr>
              <w:t>【4.20】%</w:t>
            </w:r>
          </w:p>
        </w:tc>
        <w:tc>
          <w:tcPr>
            <w:tcW w:w="850" w:type="pct"/>
            <w:vAlign w:val="center"/>
          </w:tcPr>
          <w:p w:rsidR="001E445C" w:rsidRDefault="00EB781B" w:rsidP="00D030B4">
            <w:pPr>
              <w:jc w:val="center"/>
              <w:rPr>
                <w:rFonts w:asciiTheme="minorEastAsia" w:hAnsiTheme="minorEastAsia"/>
                <w:sz w:val="28"/>
                <w:szCs w:val="28"/>
              </w:rPr>
            </w:pPr>
            <w:r w:rsidRPr="00EB781B">
              <w:rPr>
                <w:rFonts w:asciiTheme="minorEastAsia" w:hAnsiTheme="minorEastAsia"/>
                <w:sz w:val="28"/>
                <w:szCs w:val="28"/>
              </w:rPr>
              <w:t>3000</w:t>
            </w:r>
          </w:p>
        </w:tc>
        <w:tc>
          <w:tcPr>
            <w:tcW w:w="601" w:type="pct"/>
            <w:vAlign w:val="center"/>
          </w:tcPr>
          <w:p w:rsidR="001E445C" w:rsidRDefault="001E445C" w:rsidP="00D030B4">
            <w:pPr>
              <w:jc w:val="center"/>
              <w:rPr>
                <w:rFonts w:asciiTheme="minorEastAsia" w:hAnsiTheme="minorEastAsia"/>
                <w:sz w:val="28"/>
                <w:szCs w:val="28"/>
              </w:rPr>
            </w:pPr>
            <w:r>
              <w:rPr>
                <w:rFonts w:asciiTheme="minorEastAsia" w:hAnsiTheme="minorEastAsia" w:hint="eastAsia"/>
                <w:sz w:val="28"/>
                <w:szCs w:val="28"/>
              </w:rPr>
              <w:t>100</w:t>
            </w:r>
          </w:p>
        </w:tc>
        <w:tc>
          <w:tcPr>
            <w:tcW w:w="1161" w:type="pct"/>
            <w:vAlign w:val="center"/>
          </w:tcPr>
          <w:p w:rsidR="001E445C" w:rsidRDefault="00E432A9" w:rsidP="00D030B4">
            <w:pPr>
              <w:jc w:val="center"/>
              <w:rPr>
                <w:rFonts w:asciiTheme="minorEastAsia" w:hAnsiTheme="minorEastAsia"/>
                <w:sz w:val="28"/>
                <w:szCs w:val="28"/>
              </w:rPr>
            </w:pPr>
            <w:r>
              <w:rPr>
                <w:rFonts w:asciiTheme="minorEastAsia" w:hAnsiTheme="minorEastAsia" w:hint="eastAsia"/>
                <w:sz w:val="28"/>
                <w:szCs w:val="28"/>
              </w:rPr>
              <w:t>按年付息，到期还本</w:t>
            </w:r>
          </w:p>
        </w:tc>
      </w:tr>
      <w:tr w:rsidR="008A713C" w:rsidTr="00D030B4">
        <w:trPr>
          <w:trHeight w:val="130"/>
          <w:jc w:val="center"/>
        </w:trPr>
        <w:tc>
          <w:tcPr>
            <w:tcW w:w="988" w:type="pct"/>
            <w:vAlign w:val="center"/>
          </w:tcPr>
          <w:p w:rsidR="001E445C" w:rsidRDefault="001E445C" w:rsidP="00D030B4">
            <w:pPr>
              <w:jc w:val="center"/>
              <w:rPr>
                <w:rFonts w:asciiTheme="minorEastAsia" w:hAnsiTheme="minorEastAsia"/>
                <w:sz w:val="28"/>
                <w:szCs w:val="28"/>
              </w:rPr>
            </w:pPr>
            <w:r w:rsidRPr="001E445C">
              <w:rPr>
                <w:rFonts w:asciiTheme="minorEastAsia" w:hAnsiTheme="minorEastAsia" w:hint="eastAsia"/>
                <w:sz w:val="28"/>
                <w:szCs w:val="28"/>
              </w:rPr>
              <w:t>铜仁供水优先02档</w:t>
            </w:r>
          </w:p>
        </w:tc>
        <w:tc>
          <w:tcPr>
            <w:tcW w:w="800" w:type="pct"/>
            <w:vAlign w:val="center"/>
          </w:tcPr>
          <w:p w:rsidR="001E445C" w:rsidRDefault="001E445C" w:rsidP="00D030B4">
            <w:pPr>
              <w:jc w:val="center"/>
              <w:rPr>
                <w:rFonts w:asciiTheme="minorEastAsia" w:hAnsiTheme="minorEastAsia"/>
                <w:sz w:val="28"/>
                <w:szCs w:val="28"/>
              </w:rPr>
            </w:pPr>
            <w:r w:rsidRPr="001E445C">
              <w:rPr>
                <w:rFonts w:asciiTheme="minorEastAsia" w:hAnsiTheme="minorEastAsia" w:hint="eastAsia"/>
                <w:sz w:val="28"/>
                <w:szCs w:val="28"/>
              </w:rPr>
              <w:t>2</w:t>
            </w:r>
          </w:p>
        </w:tc>
        <w:tc>
          <w:tcPr>
            <w:tcW w:w="600" w:type="pct"/>
            <w:vAlign w:val="center"/>
          </w:tcPr>
          <w:p w:rsidR="008A713C" w:rsidRDefault="001E445C" w:rsidP="00D030B4">
            <w:pPr>
              <w:jc w:val="center"/>
              <w:rPr>
                <w:rFonts w:asciiTheme="minorEastAsia" w:hAnsiTheme="minorEastAsia"/>
                <w:sz w:val="28"/>
                <w:szCs w:val="28"/>
              </w:rPr>
            </w:pPr>
            <w:r w:rsidRPr="001E445C">
              <w:rPr>
                <w:rFonts w:asciiTheme="minorEastAsia" w:hAnsiTheme="minorEastAsia" w:hint="eastAsia"/>
                <w:sz w:val="28"/>
                <w:szCs w:val="28"/>
              </w:rPr>
              <w:t>【4.50】%</w:t>
            </w:r>
          </w:p>
        </w:tc>
        <w:tc>
          <w:tcPr>
            <w:tcW w:w="850" w:type="pct"/>
            <w:vAlign w:val="center"/>
          </w:tcPr>
          <w:p w:rsidR="001E445C" w:rsidRDefault="00EB781B" w:rsidP="00D030B4">
            <w:pPr>
              <w:jc w:val="center"/>
              <w:rPr>
                <w:rFonts w:asciiTheme="minorEastAsia" w:hAnsiTheme="minorEastAsia"/>
                <w:sz w:val="28"/>
                <w:szCs w:val="28"/>
              </w:rPr>
            </w:pPr>
            <w:r w:rsidRPr="00EB781B">
              <w:rPr>
                <w:rFonts w:asciiTheme="minorEastAsia" w:hAnsiTheme="minorEastAsia"/>
                <w:sz w:val="28"/>
                <w:szCs w:val="28"/>
              </w:rPr>
              <w:t>3500</w:t>
            </w:r>
          </w:p>
        </w:tc>
        <w:tc>
          <w:tcPr>
            <w:tcW w:w="601" w:type="pct"/>
            <w:vAlign w:val="center"/>
          </w:tcPr>
          <w:p w:rsidR="001E445C" w:rsidRPr="00EB781B" w:rsidRDefault="001E445C" w:rsidP="00D030B4">
            <w:pPr>
              <w:jc w:val="center"/>
              <w:rPr>
                <w:rFonts w:asciiTheme="minorEastAsia" w:hAnsiTheme="minorEastAsia"/>
                <w:sz w:val="28"/>
                <w:szCs w:val="28"/>
              </w:rPr>
            </w:pPr>
            <w:r>
              <w:rPr>
                <w:rFonts w:asciiTheme="minorEastAsia" w:hAnsiTheme="minorEastAsia" w:hint="eastAsia"/>
                <w:sz w:val="28"/>
                <w:szCs w:val="28"/>
              </w:rPr>
              <w:t>100</w:t>
            </w:r>
          </w:p>
        </w:tc>
        <w:tc>
          <w:tcPr>
            <w:tcW w:w="1161" w:type="pct"/>
            <w:vAlign w:val="center"/>
          </w:tcPr>
          <w:p w:rsidR="001E445C" w:rsidRDefault="00E432A9" w:rsidP="00D030B4">
            <w:pPr>
              <w:jc w:val="center"/>
              <w:rPr>
                <w:rFonts w:asciiTheme="minorEastAsia" w:hAnsiTheme="minorEastAsia"/>
                <w:sz w:val="28"/>
                <w:szCs w:val="28"/>
              </w:rPr>
            </w:pPr>
            <w:r>
              <w:rPr>
                <w:rFonts w:asciiTheme="minorEastAsia" w:hAnsiTheme="minorEastAsia" w:hint="eastAsia"/>
                <w:sz w:val="28"/>
                <w:szCs w:val="28"/>
              </w:rPr>
              <w:t>按年付息，到期还本</w:t>
            </w:r>
          </w:p>
        </w:tc>
      </w:tr>
      <w:tr w:rsidR="001E445C" w:rsidTr="00D030B4">
        <w:trPr>
          <w:trHeight w:val="130"/>
          <w:jc w:val="center"/>
        </w:trPr>
        <w:tc>
          <w:tcPr>
            <w:tcW w:w="988" w:type="pct"/>
            <w:vAlign w:val="center"/>
          </w:tcPr>
          <w:p w:rsidR="001E445C" w:rsidRDefault="001E445C" w:rsidP="00D030B4">
            <w:pPr>
              <w:jc w:val="center"/>
              <w:rPr>
                <w:rFonts w:asciiTheme="minorEastAsia" w:hAnsiTheme="minorEastAsia"/>
                <w:sz w:val="28"/>
                <w:szCs w:val="28"/>
              </w:rPr>
            </w:pPr>
            <w:r w:rsidRPr="001E445C">
              <w:rPr>
                <w:rFonts w:asciiTheme="minorEastAsia" w:hAnsiTheme="minorEastAsia" w:hint="eastAsia"/>
                <w:sz w:val="28"/>
                <w:szCs w:val="28"/>
              </w:rPr>
              <w:t>铜仁供水优先03档</w:t>
            </w:r>
          </w:p>
        </w:tc>
        <w:tc>
          <w:tcPr>
            <w:tcW w:w="800" w:type="pct"/>
            <w:vAlign w:val="center"/>
          </w:tcPr>
          <w:p w:rsidR="001E445C" w:rsidRDefault="001E445C" w:rsidP="00D030B4">
            <w:pPr>
              <w:jc w:val="center"/>
              <w:rPr>
                <w:rFonts w:asciiTheme="minorEastAsia" w:hAnsiTheme="minorEastAsia"/>
                <w:sz w:val="28"/>
                <w:szCs w:val="28"/>
              </w:rPr>
            </w:pPr>
            <w:r w:rsidRPr="001E445C">
              <w:rPr>
                <w:rFonts w:asciiTheme="minorEastAsia" w:hAnsiTheme="minorEastAsia" w:hint="eastAsia"/>
                <w:sz w:val="28"/>
                <w:szCs w:val="28"/>
              </w:rPr>
              <w:t>3</w:t>
            </w:r>
          </w:p>
        </w:tc>
        <w:tc>
          <w:tcPr>
            <w:tcW w:w="600" w:type="pct"/>
            <w:vAlign w:val="center"/>
          </w:tcPr>
          <w:p w:rsidR="001E445C" w:rsidRDefault="001E445C" w:rsidP="00D030B4">
            <w:pPr>
              <w:jc w:val="center"/>
              <w:rPr>
                <w:rFonts w:asciiTheme="minorEastAsia" w:hAnsiTheme="minorEastAsia"/>
                <w:sz w:val="28"/>
                <w:szCs w:val="28"/>
              </w:rPr>
            </w:pPr>
            <w:r w:rsidRPr="001E445C">
              <w:rPr>
                <w:rFonts w:asciiTheme="minorEastAsia" w:hAnsiTheme="minorEastAsia" w:hint="eastAsia"/>
                <w:sz w:val="28"/>
                <w:szCs w:val="28"/>
              </w:rPr>
              <w:t>【5.50】%</w:t>
            </w:r>
          </w:p>
        </w:tc>
        <w:tc>
          <w:tcPr>
            <w:tcW w:w="850" w:type="pct"/>
            <w:vAlign w:val="center"/>
          </w:tcPr>
          <w:p w:rsidR="001E445C" w:rsidRDefault="00EB781B" w:rsidP="00D030B4">
            <w:pPr>
              <w:jc w:val="center"/>
              <w:rPr>
                <w:rFonts w:asciiTheme="minorEastAsia" w:hAnsiTheme="minorEastAsia"/>
                <w:sz w:val="28"/>
                <w:szCs w:val="28"/>
              </w:rPr>
            </w:pPr>
            <w:r w:rsidRPr="00EB781B">
              <w:rPr>
                <w:rFonts w:asciiTheme="minorEastAsia" w:hAnsiTheme="minorEastAsia"/>
                <w:sz w:val="28"/>
                <w:szCs w:val="28"/>
              </w:rPr>
              <w:t>4000</w:t>
            </w:r>
          </w:p>
        </w:tc>
        <w:tc>
          <w:tcPr>
            <w:tcW w:w="601" w:type="pct"/>
            <w:vAlign w:val="center"/>
          </w:tcPr>
          <w:p w:rsidR="001E445C" w:rsidRPr="00EB781B" w:rsidRDefault="001E445C" w:rsidP="00D030B4">
            <w:pPr>
              <w:jc w:val="center"/>
              <w:rPr>
                <w:rFonts w:asciiTheme="minorEastAsia" w:hAnsiTheme="minorEastAsia"/>
                <w:sz w:val="28"/>
                <w:szCs w:val="28"/>
              </w:rPr>
            </w:pPr>
            <w:r>
              <w:rPr>
                <w:rFonts w:asciiTheme="minorEastAsia" w:hAnsiTheme="minorEastAsia" w:hint="eastAsia"/>
                <w:sz w:val="28"/>
                <w:szCs w:val="28"/>
              </w:rPr>
              <w:t>100</w:t>
            </w:r>
          </w:p>
        </w:tc>
        <w:tc>
          <w:tcPr>
            <w:tcW w:w="1161" w:type="pct"/>
            <w:vAlign w:val="center"/>
          </w:tcPr>
          <w:p w:rsidR="001E445C" w:rsidRDefault="00E432A9" w:rsidP="00D030B4">
            <w:pPr>
              <w:jc w:val="center"/>
              <w:rPr>
                <w:rFonts w:asciiTheme="minorEastAsia" w:hAnsiTheme="minorEastAsia"/>
                <w:sz w:val="28"/>
                <w:szCs w:val="28"/>
              </w:rPr>
            </w:pPr>
            <w:r>
              <w:rPr>
                <w:rFonts w:asciiTheme="minorEastAsia" w:hAnsiTheme="minorEastAsia" w:hint="eastAsia"/>
                <w:sz w:val="28"/>
                <w:szCs w:val="28"/>
              </w:rPr>
              <w:t>按年付息，到期还本</w:t>
            </w:r>
          </w:p>
        </w:tc>
      </w:tr>
      <w:tr w:rsidR="001E445C" w:rsidTr="00D030B4">
        <w:trPr>
          <w:trHeight w:val="130"/>
          <w:jc w:val="center"/>
        </w:trPr>
        <w:tc>
          <w:tcPr>
            <w:tcW w:w="988" w:type="pct"/>
            <w:vAlign w:val="center"/>
          </w:tcPr>
          <w:p w:rsidR="001E445C" w:rsidRDefault="001E445C" w:rsidP="00D030B4">
            <w:pPr>
              <w:jc w:val="center"/>
              <w:rPr>
                <w:rFonts w:asciiTheme="minorEastAsia" w:hAnsiTheme="minorEastAsia"/>
                <w:sz w:val="28"/>
                <w:szCs w:val="28"/>
              </w:rPr>
            </w:pPr>
            <w:r w:rsidRPr="001E445C">
              <w:rPr>
                <w:rFonts w:asciiTheme="minorEastAsia" w:hAnsiTheme="minorEastAsia" w:hint="eastAsia"/>
                <w:sz w:val="28"/>
                <w:szCs w:val="28"/>
              </w:rPr>
              <w:t>铜仁供水优先04档</w:t>
            </w:r>
          </w:p>
        </w:tc>
        <w:tc>
          <w:tcPr>
            <w:tcW w:w="800" w:type="pct"/>
            <w:vAlign w:val="center"/>
          </w:tcPr>
          <w:p w:rsidR="001E445C" w:rsidRDefault="001E445C" w:rsidP="00D030B4">
            <w:pPr>
              <w:jc w:val="center"/>
              <w:rPr>
                <w:rFonts w:asciiTheme="minorEastAsia" w:hAnsiTheme="minorEastAsia"/>
                <w:sz w:val="28"/>
                <w:szCs w:val="28"/>
              </w:rPr>
            </w:pPr>
            <w:r w:rsidRPr="001E445C">
              <w:rPr>
                <w:rFonts w:asciiTheme="minorEastAsia" w:hAnsiTheme="minorEastAsia" w:hint="eastAsia"/>
                <w:sz w:val="28"/>
                <w:szCs w:val="28"/>
              </w:rPr>
              <w:t>4</w:t>
            </w:r>
          </w:p>
        </w:tc>
        <w:tc>
          <w:tcPr>
            <w:tcW w:w="600" w:type="pct"/>
            <w:vAlign w:val="center"/>
          </w:tcPr>
          <w:p w:rsidR="001E445C" w:rsidRDefault="001E445C" w:rsidP="00D030B4">
            <w:pPr>
              <w:jc w:val="center"/>
              <w:rPr>
                <w:rFonts w:asciiTheme="minorEastAsia" w:hAnsiTheme="minorEastAsia"/>
                <w:sz w:val="28"/>
                <w:szCs w:val="28"/>
              </w:rPr>
            </w:pPr>
            <w:r w:rsidRPr="001E445C">
              <w:rPr>
                <w:rFonts w:asciiTheme="minorEastAsia" w:hAnsiTheme="minorEastAsia" w:hint="eastAsia"/>
                <w:sz w:val="28"/>
                <w:szCs w:val="28"/>
              </w:rPr>
              <w:t>【6.20】%</w:t>
            </w:r>
          </w:p>
        </w:tc>
        <w:tc>
          <w:tcPr>
            <w:tcW w:w="850" w:type="pct"/>
            <w:vAlign w:val="center"/>
          </w:tcPr>
          <w:p w:rsidR="001E445C" w:rsidRDefault="00EB781B" w:rsidP="00D030B4">
            <w:pPr>
              <w:jc w:val="center"/>
              <w:rPr>
                <w:rFonts w:asciiTheme="minorEastAsia" w:hAnsiTheme="minorEastAsia"/>
                <w:sz w:val="28"/>
                <w:szCs w:val="28"/>
              </w:rPr>
            </w:pPr>
            <w:r w:rsidRPr="00EB781B">
              <w:rPr>
                <w:rFonts w:asciiTheme="minorEastAsia" w:hAnsiTheme="minorEastAsia"/>
                <w:sz w:val="28"/>
                <w:szCs w:val="28"/>
              </w:rPr>
              <w:t>4500</w:t>
            </w:r>
          </w:p>
        </w:tc>
        <w:tc>
          <w:tcPr>
            <w:tcW w:w="601" w:type="pct"/>
            <w:vAlign w:val="center"/>
          </w:tcPr>
          <w:p w:rsidR="001E445C" w:rsidRPr="00D030B4" w:rsidRDefault="001E445C" w:rsidP="00D030B4">
            <w:pPr>
              <w:jc w:val="center"/>
              <w:rPr>
                <w:rFonts w:asciiTheme="minorEastAsia" w:hAnsiTheme="minorEastAsia"/>
                <w:sz w:val="28"/>
                <w:szCs w:val="28"/>
              </w:rPr>
            </w:pPr>
            <w:r>
              <w:rPr>
                <w:rFonts w:asciiTheme="minorEastAsia" w:hAnsiTheme="minorEastAsia" w:hint="eastAsia"/>
                <w:sz w:val="28"/>
                <w:szCs w:val="28"/>
              </w:rPr>
              <w:t>100</w:t>
            </w:r>
          </w:p>
        </w:tc>
        <w:tc>
          <w:tcPr>
            <w:tcW w:w="1161" w:type="pct"/>
            <w:vAlign w:val="center"/>
          </w:tcPr>
          <w:p w:rsidR="001E445C" w:rsidRDefault="00E432A9" w:rsidP="00D030B4">
            <w:pPr>
              <w:jc w:val="center"/>
              <w:rPr>
                <w:rFonts w:asciiTheme="minorEastAsia" w:hAnsiTheme="minorEastAsia"/>
                <w:sz w:val="28"/>
                <w:szCs w:val="28"/>
              </w:rPr>
            </w:pPr>
            <w:r>
              <w:rPr>
                <w:rFonts w:asciiTheme="minorEastAsia" w:hAnsiTheme="minorEastAsia" w:hint="eastAsia"/>
                <w:sz w:val="28"/>
                <w:szCs w:val="28"/>
              </w:rPr>
              <w:t>按年付息，到期还本</w:t>
            </w:r>
          </w:p>
        </w:tc>
      </w:tr>
      <w:tr w:rsidR="005B3BCA" w:rsidTr="00D030B4">
        <w:trPr>
          <w:trHeight w:val="130"/>
          <w:jc w:val="center"/>
        </w:trPr>
        <w:tc>
          <w:tcPr>
            <w:tcW w:w="988" w:type="pct"/>
            <w:vAlign w:val="center"/>
          </w:tcPr>
          <w:p w:rsidR="005B3BCA" w:rsidRPr="001E445C" w:rsidRDefault="005B3BCA" w:rsidP="00D030B4">
            <w:pPr>
              <w:jc w:val="center"/>
              <w:rPr>
                <w:rFonts w:asciiTheme="minorEastAsia" w:hAnsiTheme="minorEastAsia"/>
                <w:sz w:val="28"/>
                <w:szCs w:val="28"/>
              </w:rPr>
            </w:pPr>
            <w:r w:rsidRPr="001E445C">
              <w:rPr>
                <w:rFonts w:asciiTheme="minorEastAsia" w:hAnsiTheme="minorEastAsia" w:hint="eastAsia"/>
                <w:sz w:val="28"/>
                <w:szCs w:val="28"/>
              </w:rPr>
              <w:t>铜仁供水优先</w:t>
            </w:r>
            <w:r w:rsidR="00EB13F1">
              <w:rPr>
                <w:rFonts w:asciiTheme="minorEastAsia" w:hAnsiTheme="minorEastAsia" w:hint="eastAsia"/>
                <w:sz w:val="28"/>
                <w:szCs w:val="28"/>
              </w:rPr>
              <w:t>05</w:t>
            </w:r>
            <w:r w:rsidRPr="001E445C">
              <w:rPr>
                <w:rFonts w:asciiTheme="minorEastAsia" w:hAnsiTheme="minorEastAsia" w:hint="eastAsia"/>
                <w:sz w:val="28"/>
                <w:szCs w:val="28"/>
              </w:rPr>
              <w:t>档</w:t>
            </w:r>
          </w:p>
        </w:tc>
        <w:tc>
          <w:tcPr>
            <w:tcW w:w="800" w:type="pct"/>
            <w:vAlign w:val="center"/>
          </w:tcPr>
          <w:p w:rsidR="005B3BCA" w:rsidRPr="001E445C" w:rsidRDefault="005B3BCA" w:rsidP="00D030B4">
            <w:pPr>
              <w:jc w:val="center"/>
              <w:rPr>
                <w:rFonts w:asciiTheme="minorEastAsia" w:hAnsiTheme="minorEastAsia"/>
                <w:sz w:val="28"/>
                <w:szCs w:val="28"/>
              </w:rPr>
            </w:pPr>
            <w:r>
              <w:rPr>
                <w:rFonts w:asciiTheme="minorEastAsia" w:hAnsiTheme="minorEastAsia" w:hint="eastAsia"/>
                <w:sz w:val="28"/>
                <w:szCs w:val="28"/>
              </w:rPr>
              <w:t>5</w:t>
            </w:r>
          </w:p>
        </w:tc>
        <w:tc>
          <w:tcPr>
            <w:tcW w:w="600" w:type="pct"/>
            <w:vAlign w:val="center"/>
          </w:tcPr>
          <w:p w:rsidR="005B3BCA" w:rsidRPr="001E445C" w:rsidRDefault="005B3BCA" w:rsidP="00D030B4">
            <w:pPr>
              <w:jc w:val="center"/>
              <w:rPr>
                <w:rFonts w:asciiTheme="minorEastAsia" w:hAnsiTheme="minorEastAsia"/>
                <w:sz w:val="28"/>
                <w:szCs w:val="28"/>
              </w:rPr>
            </w:pPr>
            <w:r w:rsidRPr="005B3BCA">
              <w:rPr>
                <w:rFonts w:asciiTheme="minorEastAsia" w:hAnsiTheme="minorEastAsia" w:hint="eastAsia"/>
                <w:sz w:val="28"/>
                <w:szCs w:val="28"/>
              </w:rPr>
              <w:t>【6.90】%</w:t>
            </w:r>
          </w:p>
        </w:tc>
        <w:tc>
          <w:tcPr>
            <w:tcW w:w="850" w:type="pct"/>
            <w:vAlign w:val="center"/>
          </w:tcPr>
          <w:p w:rsidR="005B3BCA" w:rsidRDefault="00EB781B" w:rsidP="00D030B4">
            <w:pPr>
              <w:jc w:val="center"/>
              <w:rPr>
                <w:rFonts w:asciiTheme="minorEastAsia" w:hAnsiTheme="minorEastAsia"/>
                <w:sz w:val="28"/>
                <w:szCs w:val="28"/>
              </w:rPr>
            </w:pPr>
            <w:r w:rsidRPr="00EB781B">
              <w:rPr>
                <w:rFonts w:asciiTheme="minorEastAsia" w:hAnsiTheme="minorEastAsia"/>
                <w:sz w:val="28"/>
                <w:szCs w:val="28"/>
              </w:rPr>
              <w:t>5000</w:t>
            </w:r>
          </w:p>
        </w:tc>
        <w:tc>
          <w:tcPr>
            <w:tcW w:w="601" w:type="pct"/>
            <w:vAlign w:val="center"/>
          </w:tcPr>
          <w:p w:rsidR="005B3BCA" w:rsidRPr="00EB781B" w:rsidRDefault="00EB781B" w:rsidP="00D030B4">
            <w:pPr>
              <w:jc w:val="center"/>
              <w:rPr>
                <w:rFonts w:asciiTheme="minorEastAsia" w:hAnsiTheme="minorEastAsia"/>
                <w:sz w:val="28"/>
                <w:szCs w:val="28"/>
              </w:rPr>
            </w:pPr>
            <w:r w:rsidRPr="00EB781B">
              <w:rPr>
                <w:rFonts w:asciiTheme="minorEastAsia" w:hAnsiTheme="minorEastAsia" w:hint="eastAsia"/>
                <w:sz w:val="28"/>
                <w:szCs w:val="28"/>
              </w:rPr>
              <w:t>100</w:t>
            </w:r>
          </w:p>
        </w:tc>
        <w:tc>
          <w:tcPr>
            <w:tcW w:w="1161" w:type="pct"/>
            <w:vAlign w:val="center"/>
          </w:tcPr>
          <w:p w:rsidR="005B3BCA" w:rsidRDefault="00E432A9" w:rsidP="00D030B4">
            <w:pPr>
              <w:jc w:val="center"/>
              <w:rPr>
                <w:rFonts w:asciiTheme="minorEastAsia" w:hAnsiTheme="minorEastAsia"/>
                <w:sz w:val="28"/>
                <w:szCs w:val="28"/>
              </w:rPr>
            </w:pPr>
            <w:r>
              <w:rPr>
                <w:rFonts w:asciiTheme="minorEastAsia" w:hAnsiTheme="minorEastAsia" w:hint="eastAsia"/>
                <w:sz w:val="28"/>
                <w:szCs w:val="28"/>
              </w:rPr>
              <w:t>按年付息，到期还本</w:t>
            </w:r>
          </w:p>
        </w:tc>
      </w:tr>
      <w:tr w:rsidR="005B3BCA" w:rsidTr="00D030B4">
        <w:trPr>
          <w:trHeight w:val="132"/>
          <w:jc w:val="center"/>
        </w:trPr>
        <w:tc>
          <w:tcPr>
            <w:tcW w:w="988" w:type="pct"/>
            <w:vAlign w:val="center"/>
          </w:tcPr>
          <w:p w:rsidR="005B3BCA" w:rsidRDefault="005B3BCA" w:rsidP="00D030B4">
            <w:pPr>
              <w:jc w:val="center"/>
              <w:rPr>
                <w:rFonts w:asciiTheme="minorEastAsia" w:hAnsiTheme="minorEastAsia"/>
                <w:sz w:val="28"/>
                <w:szCs w:val="28"/>
              </w:rPr>
            </w:pPr>
            <w:r w:rsidRPr="001E445C">
              <w:rPr>
                <w:rFonts w:asciiTheme="minorEastAsia" w:hAnsiTheme="minorEastAsia" w:hint="eastAsia"/>
                <w:sz w:val="28"/>
                <w:szCs w:val="28"/>
              </w:rPr>
              <w:t>铜仁供水</w:t>
            </w:r>
            <w:r>
              <w:rPr>
                <w:rFonts w:asciiTheme="minorEastAsia" w:hAnsiTheme="minorEastAsia" w:hint="eastAsia"/>
                <w:sz w:val="28"/>
                <w:szCs w:val="28"/>
              </w:rPr>
              <w:t>次级</w:t>
            </w:r>
          </w:p>
        </w:tc>
        <w:tc>
          <w:tcPr>
            <w:tcW w:w="800" w:type="pct"/>
            <w:vAlign w:val="center"/>
          </w:tcPr>
          <w:p w:rsidR="005B3BCA" w:rsidRPr="000D1BB0" w:rsidRDefault="00D030B4" w:rsidP="00D030B4">
            <w:pPr>
              <w:rPr>
                <w:rFonts w:asciiTheme="minorEastAsia" w:hAnsiTheme="minorEastAsia"/>
                <w:sz w:val="24"/>
                <w:szCs w:val="24"/>
              </w:rPr>
            </w:pPr>
            <w:r w:rsidRPr="000D1BB0">
              <w:rPr>
                <w:rFonts w:asciiTheme="minorEastAsia" w:hAnsiTheme="minorEastAsia"/>
                <w:sz w:val="24"/>
                <w:szCs w:val="24"/>
              </w:rPr>
              <w:t>专项计划成立日（含该日）起至</w:t>
            </w:r>
            <w:bookmarkStart w:id="0" w:name="_GoBack"/>
            <w:bookmarkEnd w:id="0"/>
            <w:r w:rsidRPr="000D1BB0">
              <w:rPr>
                <w:rFonts w:asciiTheme="minorEastAsia" w:hAnsiTheme="minorEastAsia"/>
                <w:sz w:val="24"/>
                <w:szCs w:val="24"/>
              </w:rPr>
              <w:t>专项计划终止日（含该日）止</w:t>
            </w:r>
          </w:p>
        </w:tc>
        <w:tc>
          <w:tcPr>
            <w:tcW w:w="600" w:type="pct"/>
            <w:vAlign w:val="center"/>
          </w:tcPr>
          <w:p w:rsidR="005B3BCA" w:rsidRDefault="005B3BCA" w:rsidP="00D030B4">
            <w:pPr>
              <w:jc w:val="center"/>
              <w:rPr>
                <w:rFonts w:asciiTheme="minorEastAsia" w:hAnsiTheme="minorEastAsia"/>
                <w:sz w:val="28"/>
                <w:szCs w:val="28"/>
              </w:rPr>
            </w:pPr>
            <w:r>
              <w:rPr>
                <w:rFonts w:asciiTheme="minorEastAsia" w:hAnsiTheme="minorEastAsia" w:hint="eastAsia"/>
                <w:sz w:val="28"/>
                <w:szCs w:val="28"/>
              </w:rPr>
              <w:t>-</w:t>
            </w:r>
          </w:p>
        </w:tc>
        <w:tc>
          <w:tcPr>
            <w:tcW w:w="850" w:type="pct"/>
            <w:vAlign w:val="center"/>
          </w:tcPr>
          <w:p w:rsidR="005B3BCA" w:rsidRDefault="005B3BCA" w:rsidP="00D030B4">
            <w:pPr>
              <w:jc w:val="center"/>
              <w:rPr>
                <w:rFonts w:asciiTheme="minorEastAsia" w:hAnsiTheme="minorEastAsia"/>
                <w:sz w:val="28"/>
                <w:szCs w:val="28"/>
              </w:rPr>
            </w:pPr>
          </w:p>
          <w:p w:rsidR="005B3BCA" w:rsidRPr="008A713C" w:rsidRDefault="005B3BCA" w:rsidP="00D030B4">
            <w:pPr>
              <w:jc w:val="center"/>
              <w:rPr>
                <w:rFonts w:asciiTheme="minorEastAsia" w:hAnsiTheme="minorEastAsia"/>
                <w:sz w:val="28"/>
                <w:szCs w:val="28"/>
              </w:rPr>
            </w:pPr>
            <w:r w:rsidRPr="008A713C">
              <w:rPr>
                <w:rFonts w:asciiTheme="minorEastAsia" w:hAnsiTheme="minorEastAsia" w:hint="eastAsia"/>
                <w:sz w:val="28"/>
                <w:szCs w:val="28"/>
              </w:rPr>
              <w:t>500</w:t>
            </w:r>
          </w:p>
          <w:p w:rsidR="005B3BCA" w:rsidRDefault="005B3BCA" w:rsidP="00D030B4">
            <w:pPr>
              <w:jc w:val="center"/>
              <w:rPr>
                <w:rFonts w:asciiTheme="minorEastAsia" w:hAnsiTheme="minorEastAsia"/>
                <w:sz w:val="28"/>
                <w:szCs w:val="28"/>
              </w:rPr>
            </w:pPr>
          </w:p>
        </w:tc>
        <w:tc>
          <w:tcPr>
            <w:tcW w:w="601" w:type="pct"/>
            <w:vAlign w:val="center"/>
          </w:tcPr>
          <w:p w:rsidR="005B3BCA" w:rsidRDefault="005B3BCA" w:rsidP="00D030B4">
            <w:pPr>
              <w:jc w:val="center"/>
              <w:rPr>
                <w:rFonts w:asciiTheme="minorEastAsia" w:hAnsiTheme="minorEastAsia"/>
              </w:rPr>
            </w:pPr>
            <w:r>
              <w:rPr>
                <w:rFonts w:asciiTheme="minorEastAsia" w:hAnsiTheme="minorEastAsia" w:hint="eastAsia"/>
                <w:sz w:val="28"/>
                <w:szCs w:val="28"/>
              </w:rPr>
              <w:t>100</w:t>
            </w:r>
          </w:p>
        </w:tc>
        <w:tc>
          <w:tcPr>
            <w:tcW w:w="1161" w:type="pct"/>
            <w:vAlign w:val="center"/>
          </w:tcPr>
          <w:p w:rsidR="005B3BCA" w:rsidRPr="000D1BB0" w:rsidRDefault="000D1BB0" w:rsidP="00D030B4">
            <w:pPr>
              <w:jc w:val="left"/>
              <w:rPr>
                <w:rFonts w:asciiTheme="minorEastAsia" w:hAnsiTheme="minorEastAsia"/>
                <w:sz w:val="24"/>
                <w:szCs w:val="24"/>
              </w:rPr>
            </w:pPr>
            <w:r w:rsidRPr="000D1BB0">
              <w:rPr>
                <w:rFonts w:asciiTheme="minorEastAsia" w:hAnsiTheme="minorEastAsia"/>
                <w:sz w:val="24"/>
                <w:szCs w:val="24"/>
              </w:rPr>
              <w:t>当期优先级资产支持证券预期支付额分配完毕后，专项计划账户内剩余资金向次级资产支持证券投资者分配。专项计划将在向所有优先级资产支持证券投资者分配完其收益及本金后，将剩余资金全额分配给次级资产支持证券投资者</w:t>
            </w:r>
          </w:p>
        </w:tc>
      </w:tr>
      <w:tr w:rsidR="005B3BCA" w:rsidTr="00D030B4">
        <w:trPr>
          <w:trHeight w:val="132"/>
          <w:jc w:val="center"/>
        </w:trPr>
        <w:tc>
          <w:tcPr>
            <w:tcW w:w="988" w:type="pct"/>
            <w:vAlign w:val="center"/>
          </w:tcPr>
          <w:p w:rsidR="005B3BCA" w:rsidRDefault="005B3BCA" w:rsidP="00D030B4">
            <w:pPr>
              <w:jc w:val="center"/>
              <w:rPr>
                <w:rFonts w:asciiTheme="minorEastAsia" w:hAnsiTheme="minorEastAsia"/>
                <w:sz w:val="28"/>
                <w:szCs w:val="28"/>
              </w:rPr>
            </w:pPr>
            <w:r>
              <w:rPr>
                <w:rFonts w:asciiTheme="minorEastAsia" w:hAnsiTheme="minorEastAsia" w:hint="eastAsia"/>
                <w:sz w:val="28"/>
                <w:szCs w:val="28"/>
              </w:rPr>
              <w:t>信用评级</w:t>
            </w:r>
          </w:p>
        </w:tc>
        <w:tc>
          <w:tcPr>
            <w:tcW w:w="4012" w:type="pct"/>
            <w:gridSpan w:val="5"/>
            <w:vAlign w:val="center"/>
          </w:tcPr>
          <w:p w:rsidR="005B3BCA" w:rsidRDefault="005B3BCA" w:rsidP="00D030B4">
            <w:pPr>
              <w:jc w:val="center"/>
              <w:rPr>
                <w:rFonts w:asciiTheme="minorEastAsia" w:hAnsiTheme="minorEastAsia"/>
                <w:sz w:val="28"/>
                <w:szCs w:val="28"/>
              </w:rPr>
            </w:pPr>
            <w:r>
              <w:rPr>
                <w:rFonts w:asciiTheme="minorEastAsia" w:hAnsiTheme="minorEastAsia" w:hint="eastAsia"/>
                <w:sz w:val="28"/>
                <w:szCs w:val="28"/>
              </w:rPr>
              <w:t>中诚信证券评估有限公司给予优先级资产支持证券评级为AA+级</w:t>
            </w:r>
          </w:p>
        </w:tc>
      </w:tr>
      <w:tr w:rsidR="005B3BCA" w:rsidTr="00D030B4">
        <w:trPr>
          <w:trHeight w:val="132"/>
          <w:jc w:val="center"/>
        </w:trPr>
        <w:tc>
          <w:tcPr>
            <w:tcW w:w="988" w:type="pct"/>
            <w:vAlign w:val="center"/>
          </w:tcPr>
          <w:p w:rsidR="005B3BCA" w:rsidRDefault="005B3BCA" w:rsidP="00D030B4">
            <w:pPr>
              <w:jc w:val="center"/>
              <w:rPr>
                <w:rFonts w:asciiTheme="minorEastAsia" w:hAnsiTheme="minorEastAsia"/>
                <w:sz w:val="28"/>
                <w:szCs w:val="28"/>
              </w:rPr>
            </w:pPr>
            <w:r>
              <w:rPr>
                <w:rFonts w:asciiTheme="minorEastAsia" w:hAnsiTheme="minorEastAsia" w:hint="eastAsia"/>
                <w:sz w:val="28"/>
                <w:szCs w:val="28"/>
              </w:rPr>
              <w:t>销售对象</w:t>
            </w:r>
          </w:p>
        </w:tc>
        <w:tc>
          <w:tcPr>
            <w:tcW w:w="4012" w:type="pct"/>
            <w:gridSpan w:val="5"/>
            <w:vAlign w:val="center"/>
          </w:tcPr>
          <w:p w:rsidR="005B3BCA" w:rsidRDefault="005B3BCA" w:rsidP="00D030B4">
            <w:pPr>
              <w:jc w:val="center"/>
              <w:rPr>
                <w:rFonts w:asciiTheme="minorEastAsia" w:hAnsiTheme="minorEastAsia"/>
                <w:sz w:val="28"/>
                <w:szCs w:val="28"/>
              </w:rPr>
            </w:pPr>
            <w:r>
              <w:rPr>
                <w:rFonts w:asciiTheme="minorEastAsia" w:hAnsiTheme="minorEastAsia" w:hint="eastAsia"/>
                <w:sz w:val="28"/>
                <w:szCs w:val="28"/>
              </w:rPr>
              <w:t>由合格投资者认购，优先级和次级认购金额均为100万元的整数</w:t>
            </w:r>
            <w:proofErr w:type="gramStart"/>
            <w:r>
              <w:rPr>
                <w:rFonts w:asciiTheme="minorEastAsia" w:hAnsiTheme="minorEastAsia" w:hint="eastAsia"/>
                <w:sz w:val="28"/>
                <w:szCs w:val="28"/>
              </w:rPr>
              <w:t>倍</w:t>
            </w:r>
            <w:proofErr w:type="gramEnd"/>
          </w:p>
        </w:tc>
      </w:tr>
      <w:tr w:rsidR="005B3BCA" w:rsidTr="00D030B4">
        <w:trPr>
          <w:trHeight w:val="132"/>
          <w:jc w:val="center"/>
        </w:trPr>
        <w:tc>
          <w:tcPr>
            <w:tcW w:w="988" w:type="pct"/>
            <w:vAlign w:val="center"/>
          </w:tcPr>
          <w:p w:rsidR="005B3BCA" w:rsidRDefault="005B3BCA" w:rsidP="00D030B4">
            <w:pPr>
              <w:jc w:val="center"/>
              <w:rPr>
                <w:rFonts w:asciiTheme="minorEastAsia" w:hAnsiTheme="minorEastAsia"/>
                <w:sz w:val="28"/>
                <w:szCs w:val="28"/>
              </w:rPr>
            </w:pPr>
            <w:r>
              <w:rPr>
                <w:rFonts w:asciiTheme="minorEastAsia" w:hAnsiTheme="minorEastAsia" w:hint="eastAsia"/>
                <w:sz w:val="28"/>
                <w:szCs w:val="28"/>
              </w:rPr>
              <w:t>托管银行</w:t>
            </w:r>
          </w:p>
        </w:tc>
        <w:tc>
          <w:tcPr>
            <w:tcW w:w="4012" w:type="pct"/>
            <w:gridSpan w:val="5"/>
            <w:vAlign w:val="center"/>
          </w:tcPr>
          <w:p w:rsidR="005B3BCA" w:rsidRPr="001E445C" w:rsidRDefault="005B3BCA" w:rsidP="00D030B4">
            <w:pPr>
              <w:jc w:val="center"/>
              <w:rPr>
                <w:sz w:val="28"/>
                <w:szCs w:val="28"/>
              </w:rPr>
            </w:pPr>
            <w:r w:rsidRPr="00495907">
              <w:rPr>
                <w:rFonts w:hint="eastAsia"/>
                <w:sz w:val="28"/>
                <w:szCs w:val="28"/>
              </w:rPr>
              <w:t>中国工商银行股份有限公司</w:t>
            </w:r>
            <w:r w:rsidR="00D604AF">
              <w:rPr>
                <w:rFonts w:hint="eastAsia"/>
                <w:sz w:val="28"/>
                <w:szCs w:val="28"/>
              </w:rPr>
              <w:t>贵州省分行</w:t>
            </w:r>
          </w:p>
        </w:tc>
      </w:tr>
      <w:tr w:rsidR="005B3BCA" w:rsidTr="00D030B4">
        <w:trPr>
          <w:trHeight w:val="132"/>
          <w:jc w:val="center"/>
        </w:trPr>
        <w:tc>
          <w:tcPr>
            <w:tcW w:w="988" w:type="pct"/>
            <w:vAlign w:val="center"/>
          </w:tcPr>
          <w:p w:rsidR="005B3BCA" w:rsidRDefault="005B3BCA" w:rsidP="00D030B4">
            <w:pPr>
              <w:jc w:val="center"/>
              <w:rPr>
                <w:rFonts w:asciiTheme="minorEastAsia" w:hAnsiTheme="minorEastAsia"/>
                <w:sz w:val="28"/>
                <w:szCs w:val="28"/>
              </w:rPr>
            </w:pPr>
            <w:r>
              <w:rPr>
                <w:rFonts w:asciiTheme="minorEastAsia" w:hAnsiTheme="minorEastAsia" w:hint="eastAsia"/>
                <w:sz w:val="28"/>
                <w:szCs w:val="28"/>
              </w:rPr>
              <w:t>登记机构</w:t>
            </w:r>
          </w:p>
        </w:tc>
        <w:tc>
          <w:tcPr>
            <w:tcW w:w="4012" w:type="pct"/>
            <w:gridSpan w:val="5"/>
            <w:vAlign w:val="center"/>
          </w:tcPr>
          <w:p w:rsidR="005B3BCA" w:rsidRPr="001E445C" w:rsidRDefault="005B3BCA" w:rsidP="00D030B4">
            <w:pPr>
              <w:jc w:val="center"/>
              <w:rPr>
                <w:sz w:val="28"/>
                <w:szCs w:val="28"/>
              </w:rPr>
            </w:pPr>
            <w:r w:rsidRPr="001E445C">
              <w:rPr>
                <w:sz w:val="28"/>
                <w:szCs w:val="28"/>
              </w:rPr>
              <w:t>中国证券登记结算有限责任公司上海分公司</w:t>
            </w:r>
          </w:p>
        </w:tc>
      </w:tr>
      <w:tr w:rsidR="005B3BCA" w:rsidTr="00D030B4">
        <w:trPr>
          <w:trHeight w:val="132"/>
          <w:jc w:val="center"/>
        </w:trPr>
        <w:tc>
          <w:tcPr>
            <w:tcW w:w="988" w:type="pct"/>
            <w:vAlign w:val="center"/>
          </w:tcPr>
          <w:p w:rsidR="005B3BCA" w:rsidRDefault="005B3BCA" w:rsidP="00D030B4">
            <w:pPr>
              <w:jc w:val="center"/>
              <w:rPr>
                <w:rFonts w:asciiTheme="minorEastAsia" w:hAnsiTheme="minorEastAsia"/>
                <w:sz w:val="28"/>
                <w:szCs w:val="28"/>
              </w:rPr>
            </w:pPr>
            <w:r>
              <w:rPr>
                <w:rFonts w:asciiTheme="minorEastAsia" w:hAnsiTheme="minorEastAsia" w:hint="eastAsia"/>
                <w:sz w:val="28"/>
                <w:szCs w:val="28"/>
              </w:rPr>
              <w:t>交易场所</w:t>
            </w:r>
          </w:p>
        </w:tc>
        <w:tc>
          <w:tcPr>
            <w:tcW w:w="4012" w:type="pct"/>
            <w:gridSpan w:val="5"/>
            <w:vAlign w:val="center"/>
          </w:tcPr>
          <w:p w:rsidR="005B3BCA" w:rsidRDefault="005B3BCA" w:rsidP="00D030B4">
            <w:pPr>
              <w:jc w:val="center"/>
              <w:rPr>
                <w:rFonts w:asciiTheme="minorEastAsia" w:hAnsiTheme="minorEastAsia"/>
                <w:sz w:val="28"/>
                <w:szCs w:val="28"/>
              </w:rPr>
            </w:pPr>
            <w:r w:rsidRPr="000610FB">
              <w:rPr>
                <w:rFonts w:asciiTheme="minorEastAsia" w:hAnsiTheme="minorEastAsia" w:hint="eastAsia"/>
                <w:sz w:val="28"/>
                <w:szCs w:val="28"/>
              </w:rPr>
              <w:t>上海证券交易所</w:t>
            </w:r>
          </w:p>
        </w:tc>
      </w:tr>
    </w:tbl>
    <w:p w:rsidR="00B434F4" w:rsidRDefault="004437AA">
      <w:pPr>
        <w:ind w:firstLineChars="200" w:firstLine="562"/>
        <w:rPr>
          <w:rFonts w:asciiTheme="minorEastAsia" w:hAnsiTheme="minorEastAsia"/>
          <w:b/>
          <w:sz w:val="28"/>
          <w:szCs w:val="28"/>
        </w:rPr>
      </w:pPr>
      <w:r>
        <w:rPr>
          <w:rFonts w:asciiTheme="minorEastAsia" w:hAnsiTheme="minorEastAsia" w:hint="eastAsia"/>
          <w:b/>
          <w:sz w:val="28"/>
          <w:szCs w:val="28"/>
        </w:rPr>
        <w:lastRenderedPageBreak/>
        <w:t>二、备查文件</w:t>
      </w:r>
    </w:p>
    <w:p w:rsidR="00495907" w:rsidRPr="00B56AA4" w:rsidRDefault="00495907" w:rsidP="00495907">
      <w:pPr>
        <w:ind w:firstLineChars="200" w:firstLine="560"/>
        <w:rPr>
          <w:sz w:val="28"/>
          <w:szCs w:val="28"/>
        </w:rPr>
      </w:pPr>
      <w:r w:rsidRPr="00B56AA4">
        <w:rPr>
          <w:rFonts w:hint="eastAsia"/>
          <w:sz w:val="28"/>
          <w:szCs w:val="28"/>
        </w:rPr>
        <w:t>1</w:t>
      </w:r>
      <w:r w:rsidRPr="00B56AA4">
        <w:rPr>
          <w:rFonts w:hint="eastAsia"/>
          <w:sz w:val="28"/>
          <w:szCs w:val="28"/>
        </w:rPr>
        <w:t>、《铜仁供水公司供水合同债权资产支持专项计划标准条款》</w:t>
      </w:r>
    </w:p>
    <w:p w:rsidR="00495907" w:rsidRPr="00B56AA4" w:rsidRDefault="00495907" w:rsidP="00495907">
      <w:pPr>
        <w:ind w:firstLineChars="200" w:firstLine="560"/>
        <w:rPr>
          <w:sz w:val="28"/>
          <w:szCs w:val="28"/>
        </w:rPr>
      </w:pPr>
      <w:r w:rsidRPr="00B56AA4">
        <w:rPr>
          <w:rFonts w:hint="eastAsia"/>
          <w:sz w:val="28"/>
          <w:szCs w:val="28"/>
        </w:rPr>
        <w:t>2</w:t>
      </w:r>
      <w:r w:rsidRPr="00B56AA4">
        <w:rPr>
          <w:rFonts w:hint="eastAsia"/>
          <w:sz w:val="28"/>
          <w:szCs w:val="28"/>
        </w:rPr>
        <w:t>、《铜仁供水公司供水合同债权资产支持专项计划资产支持证券认购协议》</w:t>
      </w:r>
    </w:p>
    <w:p w:rsidR="00495907" w:rsidRPr="00B56AA4" w:rsidRDefault="00495907" w:rsidP="00495907">
      <w:pPr>
        <w:ind w:firstLineChars="200" w:firstLine="560"/>
        <w:rPr>
          <w:sz w:val="28"/>
          <w:szCs w:val="28"/>
        </w:rPr>
      </w:pPr>
      <w:r w:rsidRPr="00B56AA4">
        <w:rPr>
          <w:rFonts w:hint="eastAsia"/>
          <w:sz w:val="28"/>
          <w:szCs w:val="28"/>
        </w:rPr>
        <w:t>3</w:t>
      </w:r>
      <w:r w:rsidRPr="00B56AA4">
        <w:rPr>
          <w:rFonts w:hint="eastAsia"/>
          <w:sz w:val="28"/>
          <w:szCs w:val="28"/>
        </w:rPr>
        <w:t>、《铜仁供水公司供水合同债权资产支持专项计划风险揭示书》</w:t>
      </w:r>
    </w:p>
    <w:p w:rsidR="00495907" w:rsidRPr="00B56AA4" w:rsidRDefault="00495907" w:rsidP="00495907">
      <w:pPr>
        <w:ind w:firstLineChars="200" w:firstLine="560"/>
        <w:rPr>
          <w:sz w:val="28"/>
          <w:szCs w:val="28"/>
        </w:rPr>
      </w:pPr>
      <w:r w:rsidRPr="00B56AA4">
        <w:rPr>
          <w:rFonts w:hint="eastAsia"/>
          <w:sz w:val="28"/>
          <w:szCs w:val="28"/>
        </w:rPr>
        <w:t>4</w:t>
      </w:r>
      <w:r w:rsidRPr="00B56AA4">
        <w:rPr>
          <w:rFonts w:hint="eastAsia"/>
          <w:sz w:val="28"/>
          <w:szCs w:val="28"/>
        </w:rPr>
        <w:t>、《铜仁供水公司供水合同债权资产支持专项计划资产买卖协议》</w:t>
      </w:r>
    </w:p>
    <w:p w:rsidR="00495907" w:rsidRPr="00B56AA4" w:rsidRDefault="00495907" w:rsidP="00495907">
      <w:pPr>
        <w:ind w:firstLineChars="200" w:firstLine="560"/>
        <w:rPr>
          <w:sz w:val="28"/>
          <w:szCs w:val="28"/>
        </w:rPr>
      </w:pPr>
      <w:r w:rsidRPr="00B56AA4">
        <w:rPr>
          <w:rFonts w:hint="eastAsia"/>
          <w:sz w:val="28"/>
          <w:szCs w:val="28"/>
        </w:rPr>
        <w:t>5</w:t>
      </w:r>
      <w:r w:rsidRPr="00B56AA4">
        <w:rPr>
          <w:rFonts w:hint="eastAsia"/>
          <w:sz w:val="28"/>
          <w:szCs w:val="28"/>
        </w:rPr>
        <w:t>、《铜仁供水公司供水合同债权资产支持专项计划监管协议》</w:t>
      </w:r>
    </w:p>
    <w:p w:rsidR="00495907" w:rsidRPr="00B56AA4" w:rsidRDefault="00495907" w:rsidP="00495907">
      <w:pPr>
        <w:ind w:firstLineChars="200" w:firstLine="560"/>
        <w:rPr>
          <w:sz w:val="28"/>
          <w:szCs w:val="28"/>
        </w:rPr>
      </w:pPr>
      <w:r w:rsidRPr="00B56AA4">
        <w:rPr>
          <w:rFonts w:hint="eastAsia"/>
          <w:sz w:val="28"/>
          <w:szCs w:val="28"/>
        </w:rPr>
        <w:t>6</w:t>
      </w:r>
      <w:r w:rsidRPr="00B56AA4">
        <w:rPr>
          <w:rFonts w:hint="eastAsia"/>
          <w:sz w:val="28"/>
          <w:szCs w:val="28"/>
        </w:rPr>
        <w:t>、《铜仁供水公司供水合同债权资产支持专项计划托管协议》</w:t>
      </w:r>
    </w:p>
    <w:p w:rsidR="00495907" w:rsidRPr="00B56AA4" w:rsidRDefault="00495907" w:rsidP="00495907">
      <w:pPr>
        <w:ind w:firstLineChars="200" w:firstLine="560"/>
        <w:rPr>
          <w:sz w:val="28"/>
          <w:szCs w:val="28"/>
        </w:rPr>
      </w:pPr>
      <w:r w:rsidRPr="00B56AA4">
        <w:rPr>
          <w:rFonts w:hint="eastAsia"/>
          <w:sz w:val="28"/>
          <w:szCs w:val="28"/>
        </w:rPr>
        <w:t>7</w:t>
      </w:r>
      <w:r w:rsidRPr="00B56AA4">
        <w:rPr>
          <w:rFonts w:hint="eastAsia"/>
          <w:sz w:val="28"/>
          <w:szCs w:val="28"/>
        </w:rPr>
        <w:t>、《铜仁供水公司供水合同债权资产支持专项计划原始权益人差额支付承诺函》</w:t>
      </w:r>
    </w:p>
    <w:p w:rsidR="00495907" w:rsidRPr="00B56AA4" w:rsidRDefault="00495907" w:rsidP="00495907">
      <w:pPr>
        <w:ind w:firstLineChars="200" w:firstLine="560"/>
        <w:rPr>
          <w:sz w:val="28"/>
          <w:szCs w:val="28"/>
        </w:rPr>
      </w:pPr>
      <w:r w:rsidRPr="00B56AA4">
        <w:rPr>
          <w:rFonts w:hint="eastAsia"/>
          <w:sz w:val="28"/>
          <w:szCs w:val="28"/>
        </w:rPr>
        <w:t>8</w:t>
      </w:r>
      <w:r w:rsidRPr="00B56AA4">
        <w:rPr>
          <w:rFonts w:hint="eastAsia"/>
          <w:sz w:val="28"/>
          <w:szCs w:val="28"/>
        </w:rPr>
        <w:t>、《铜仁供水公司供水合同债权资产支持专项计划担保函》</w:t>
      </w:r>
    </w:p>
    <w:p w:rsidR="00495907" w:rsidRPr="00B56AA4" w:rsidRDefault="00495907" w:rsidP="00495907">
      <w:pPr>
        <w:ind w:firstLineChars="200" w:firstLine="560"/>
        <w:rPr>
          <w:sz w:val="28"/>
          <w:szCs w:val="28"/>
        </w:rPr>
      </w:pPr>
      <w:r w:rsidRPr="00B56AA4">
        <w:rPr>
          <w:rFonts w:hint="eastAsia"/>
          <w:sz w:val="28"/>
          <w:szCs w:val="28"/>
        </w:rPr>
        <w:t>9</w:t>
      </w:r>
      <w:r w:rsidRPr="00B56AA4">
        <w:rPr>
          <w:rFonts w:hint="eastAsia"/>
          <w:sz w:val="28"/>
          <w:szCs w:val="28"/>
        </w:rPr>
        <w:t>、《关于设立铜仁市供水总公司供水合同债权资产支持专项资产管理计划之法律意见书》</w:t>
      </w:r>
    </w:p>
    <w:p w:rsidR="00495907" w:rsidRPr="00B56AA4" w:rsidRDefault="00495907" w:rsidP="00495907">
      <w:pPr>
        <w:ind w:firstLineChars="200" w:firstLine="560"/>
        <w:rPr>
          <w:sz w:val="28"/>
          <w:szCs w:val="28"/>
        </w:rPr>
      </w:pPr>
      <w:r w:rsidRPr="00B56AA4">
        <w:rPr>
          <w:rFonts w:hint="eastAsia"/>
          <w:sz w:val="28"/>
          <w:szCs w:val="28"/>
        </w:rPr>
        <w:t>11</w:t>
      </w:r>
      <w:r w:rsidRPr="00B56AA4">
        <w:rPr>
          <w:rFonts w:hint="eastAsia"/>
          <w:sz w:val="28"/>
          <w:szCs w:val="28"/>
        </w:rPr>
        <w:t>、《铜仁供水公司供水合同债权资产支持专项计划优先级资产支持证券信用评级报告》</w:t>
      </w:r>
    </w:p>
    <w:p w:rsidR="00495907" w:rsidRPr="00B56AA4" w:rsidRDefault="00495907" w:rsidP="00495907">
      <w:pPr>
        <w:ind w:firstLineChars="200" w:firstLine="560"/>
        <w:rPr>
          <w:sz w:val="28"/>
          <w:szCs w:val="28"/>
        </w:rPr>
      </w:pPr>
      <w:r w:rsidRPr="00B56AA4">
        <w:rPr>
          <w:rFonts w:hint="eastAsia"/>
          <w:sz w:val="28"/>
          <w:szCs w:val="28"/>
        </w:rPr>
        <w:t>12</w:t>
      </w:r>
      <w:r w:rsidRPr="00B56AA4">
        <w:rPr>
          <w:rFonts w:hint="eastAsia"/>
          <w:sz w:val="28"/>
          <w:szCs w:val="28"/>
        </w:rPr>
        <w:t>、计划管理人业务资格批件、营业执照和公司章程</w:t>
      </w:r>
    </w:p>
    <w:p w:rsidR="00495907" w:rsidRPr="00B56AA4" w:rsidRDefault="00495907" w:rsidP="00495907">
      <w:pPr>
        <w:ind w:firstLineChars="200" w:firstLine="560"/>
        <w:rPr>
          <w:sz w:val="28"/>
          <w:szCs w:val="28"/>
        </w:rPr>
      </w:pPr>
      <w:r w:rsidRPr="00B56AA4">
        <w:rPr>
          <w:rFonts w:hint="eastAsia"/>
          <w:sz w:val="28"/>
          <w:szCs w:val="28"/>
        </w:rPr>
        <w:t>13</w:t>
      </w:r>
      <w:r w:rsidRPr="00B56AA4">
        <w:rPr>
          <w:rFonts w:hint="eastAsia"/>
          <w:sz w:val="28"/>
          <w:szCs w:val="28"/>
        </w:rPr>
        <w:t>、托管银行业务资格批件和营业执照</w:t>
      </w:r>
    </w:p>
    <w:p w:rsidR="00495907" w:rsidRPr="003336E5" w:rsidRDefault="00495907" w:rsidP="00495907">
      <w:pPr>
        <w:ind w:firstLineChars="200" w:firstLine="562"/>
        <w:rPr>
          <w:b/>
          <w:sz w:val="28"/>
          <w:szCs w:val="28"/>
        </w:rPr>
      </w:pPr>
      <w:r w:rsidRPr="003336E5">
        <w:rPr>
          <w:rFonts w:hint="eastAsia"/>
          <w:b/>
          <w:sz w:val="28"/>
          <w:szCs w:val="28"/>
        </w:rPr>
        <w:t>备查文件查阅地点：</w:t>
      </w:r>
    </w:p>
    <w:p w:rsidR="00495907" w:rsidRPr="00B56AA4" w:rsidRDefault="00495907" w:rsidP="00495907">
      <w:pPr>
        <w:ind w:firstLineChars="200" w:firstLine="560"/>
        <w:rPr>
          <w:sz w:val="28"/>
          <w:szCs w:val="28"/>
        </w:rPr>
      </w:pPr>
      <w:r w:rsidRPr="00B56AA4">
        <w:rPr>
          <w:rFonts w:hint="eastAsia"/>
          <w:sz w:val="28"/>
          <w:szCs w:val="28"/>
        </w:rPr>
        <w:t>东海瑞京资产管理（上海）有限公司</w:t>
      </w:r>
    </w:p>
    <w:p w:rsidR="00495907" w:rsidRPr="00B56AA4" w:rsidRDefault="00495907" w:rsidP="00495907">
      <w:pPr>
        <w:ind w:firstLineChars="200" w:firstLine="560"/>
        <w:rPr>
          <w:sz w:val="28"/>
          <w:szCs w:val="28"/>
        </w:rPr>
      </w:pPr>
      <w:r w:rsidRPr="00B56AA4">
        <w:rPr>
          <w:rFonts w:hint="eastAsia"/>
          <w:sz w:val="28"/>
          <w:szCs w:val="28"/>
        </w:rPr>
        <w:t>办公地址：上海市浦东</w:t>
      </w:r>
      <w:proofErr w:type="gramStart"/>
      <w:r w:rsidRPr="00B56AA4">
        <w:rPr>
          <w:rFonts w:hint="eastAsia"/>
          <w:sz w:val="28"/>
          <w:szCs w:val="28"/>
        </w:rPr>
        <w:t>新区世纪</w:t>
      </w:r>
      <w:proofErr w:type="gramEnd"/>
      <w:r w:rsidRPr="00B56AA4">
        <w:rPr>
          <w:rFonts w:hint="eastAsia"/>
          <w:sz w:val="28"/>
          <w:szCs w:val="28"/>
        </w:rPr>
        <w:t>大道</w:t>
      </w:r>
      <w:r w:rsidRPr="00B56AA4">
        <w:rPr>
          <w:rFonts w:hint="eastAsia"/>
          <w:sz w:val="28"/>
          <w:szCs w:val="28"/>
        </w:rPr>
        <w:t>1528</w:t>
      </w:r>
      <w:r w:rsidRPr="00B56AA4">
        <w:rPr>
          <w:rFonts w:hint="eastAsia"/>
          <w:sz w:val="28"/>
          <w:szCs w:val="28"/>
        </w:rPr>
        <w:t>号陆家</w:t>
      </w:r>
      <w:proofErr w:type="gramStart"/>
      <w:r w:rsidRPr="00B56AA4">
        <w:rPr>
          <w:rFonts w:hint="eastAsia"/>
          <w:sz w:val="28"/>
          <w:szCs w:val="28"/>
        </w:rPr>
        <w:t>嘴基金</w:t>
      </w:r>
      <w:proofErr w:type="gramEnd"/>
      <w:r w:rsidRPr="00B56AA4">
        <w:rPr>
          <w:rFonts w:hint="eastAsia"/>
          <w:sz w:val="28"/>
          <w:szCs w:val="28"/>
        </w:rPr>
        <w:t>大厦</w:t>
      </w:r>
      <w:r w:rsidRPr="00B56AA4">
        <w:rPr>
          <w:rFonts w:hint="eastAsia"/>
          <w:sz w:val="28"/>
          <w:szCs w:val="28"/>
        </w:rPr>
        <w:t>15</w:t>
      </w:r>
      <w:r w:rsidRPr="00B56AA4">
        <w:rPr>
          <w:rFonts w:hint="eastAsia"/>
          <w:sz w:val="28"/>
          <w:szCs w:val="28"/>
        </w:rPr>
        <w:t>楼</w:t>
      </w:r>
    </w:p>
    <w:p w:rsidR="00495907" w:rsidRPr="00B56AA4" w:rsidRDefault="00495907" w:rsidP="00495907">
      <w:pPr>
        <w:ind w:firstLineChars="200" w:firstLine="560"/>
        <w:rPr>
          <w:sz w:val="28"/>
          <w:szCs w:val="28"/>
        </w:rPr>
      </w:pPr>
      <w:r w:rsidRPr="00B56AA4">
        <w:rPr>
          <w:rFonts w:hint="eastAsia"/>
          <w:sz w:val="28"/>
          <w:szCs w:val="28"/>
        </w:rPr>
        <w:lastRenderedPageBreak/>
        <w:t>联系人：魏邻昊</w:t>
      </w:r>
    </w:p>
    <w:p w:rsidR="00495907" w:rsidRPr="00B56AA4" w:rsidRDefault="00495907" w:rsidP="00495907">
      <w:pPr>
        <w:ind w:firstLineChars="200" w:firstLine="560"/>
        <w:rPr>
          <w:sz w:val="28"/>
          <w:szCs w:val="28"/>
        </w:rPr>
      </w:pPr>
      <w:r w:rsidRPr="00B56AA4">
        <w:rPr>
          <w:rFonts w:hint="eastAsia"/>
          <w:sz w:val="28"/>
          <w:szCs w:val="28"/>
        </w:rPr>
        <w:t>电话：</w:t>
      </w:r>
      <w:r w:rsidRPr="00B56AA4">
        <w:rPr>
          <w:rFonts w:hint="eastAsia"/>
          <w:sz w:val="28"/>
          <w:szCs w:val="28"/>
        </w:rPr>
        <w:t>021-61625271</w:t>
      </w:r>
    </w:p>
    <w:p w:rsidR="00495907" w:rsidRDefault="00495907" w:rsidP="00495907">
      <w:pPr>
        <w:ind w:firstLineChars="200" w:firstLine="560"/>
        <w:rPr>
          <w:sz w:val="28"/>
          <w:szCs w:val="28"/>
        </w:rPr>
      </w:pPr>
      <w:r w:rsidRPr="00B56AA4">
        <w:rPr>
          <w:rFonts w:hint="eastAsia"/>
          <w:sz w:val="28"/>
          <w:szCs w:val="28"/>
        </w:rPr>
        <w:t>传真：</w:t>
      </w:r>
      <w:r w:rsidRPr="00B56AA4">
        <w:rPr>
          <w:rFonts w:hint="eastAsia"/>
          <w:sz w:val="28"/>
          <w:szCs w:val="28"/>
        </w:rPr>
        <w:t>021-61625270</w:t>
      </w:r>
    </w:p>
    <w:p w:rsidR="00B434F4" w:rsidRDefault="00B434F4" w:rsidP="00AC749C">
      <w:pPr>
        <w:rPr>
          <w:rFonts w:asciiTheme="minorEastAsia" w:hAnsiTheme="minorEastAsia"/>
          <w:sz w:val="28"/>
          <w:szCs w:val="28"/>
        </w:rPr>
      </w:pPr>
    </w:p>
    <w:p w:rsidR="00B434F4" w:rsidRDefault="004437AA">
      <w:pPr>
        <w:ind w:firstLineChars="200" w:firstLine="560"/>
        <w:jc w:val="right"/>
        <w:rPr>
          <w:rFonts w:asciiTheme="minorEastAsia" w:hAnsiTheme="minorEastAsia"/>
          <w:sz w:val="28"/>
          <w:szCs w:val="28"/>
        </w:rPr>
      </w:pPr>
      <w:r>
        <w:rPr>
          <w:rFonts w:asciiTheme="minorEastAsia" w:hAnsiTheme="minorEastAsia" w:hint="eastAsia"/>
          <w:sz w:val="28"/>
          <w:szCs w:val="28"/>
        </w:rPr>
        <w:t>东海瑞京资产管理（上海）有限公司</w:t>
      </w:r>
    </w:p>
    <w:p w:rsidR="00B434F4" w:rsidRDefault="000610FB">
      <w:pPr>
        <w:ind w:firstLineChars="200" w:firstLine="560"/>
        <w:jc w:val="right"/>
        <w:rPr>
          <w:rFonts w:asciiTheme="minorEastAsia" w:hAnsiTheme="minorEastAsia"/>
          <w:sz w:val="28"/>
          <w:szCs w:val="28"/>
        </w:rPr>
      </w:pPr>
      <w:r>
        <w:rPr>
          <w:rFonts w:asciiTheme="minorEastAsia" w:hAnsiTheme="minorEastAsia" w:hint="eastAsia"/>
          <w:sz w:val="28"/>
          <w:szCs w:val="28"/>
        </w:rPr>
        <w:t>二〇一六</w:t>
      </w:r>
      <w:r w:rsidR="004437AA">
        <w:rPr>
          <w:rFonts w:asciiTheme="minorEastAsia" w:hAnsiTheme="minorEastAsia" w:hint="eastAsia"/>
          <w:sz w:val="28"/>
          <w:szCs w:val="28"/>
        </w:rPr>
        <w:t>年</w:t>
      </w:r>
      <w:r>
        <w:rPr>
          <w:rFonts w:asciiTheme="minorEastAsia" w:hAnsiTheme="minorEastAsia" w:hint="eastAsia"/>
          <w:sz w:val="28"/>
          <w:szCs w:val="28"/>
        </w:rPr>
        <w:t>五</w:t>
      </w:r>
      <w:r w:rsidR="004437AA">
        <w:rPr>
          <w:rFonts w:asciiTheme="minorEastAsia" w:hAnsiTheme="minorEastAsia" w:hint="eastAsia"/>
          <w:sz w:val="28"/>
          <w:szCs w:val="28"/>
        </w:rPr>
        <w:t>月</w:t>
      </w:r>
      <w:r w:rsidR="00EB781B">
        <w:rPr>
          <w:rFonts w:asciiTheme="minorEastAsia" w:hAnsiTheme="minorEastAsia" w:hint="eastAsia"/>
          <w:sz w:val="28"/>
          <w:szCs w:val="28"/>
        </w:rPr>
        <w:t>九</w:t>
      </w:r>
      <w:r w:rsidR="004437AA">
        <w:rPr>
          <w:rFonts w:asciiTheme="minorEastAsia" w:hAnsiTheme="minorEastAsia" w:hint="eastAsia"/>
          <w:sz w:val="28"/>
          <w:szCs w:val="28"/>
        </w:rPr>
        <w:t>日</w:t>
      </w:r>
    </w:p>
    <w:sectPr w:rsidR="00B434F4" w:rsidSect="00D030B4">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66D" w:rsidRDefault="0029366D" w:rsidP="00495907">
      <w:r>
        <w:separator/>
      </w:r>
    </w:p>
  </w:endnote>
  <w:endnote w:type="continuationSeparator" w:id="0">
    <w:p w:rsidR="0029366D" w:rsidRDefault="0029366D" w:rsidP="0049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66D" w:rsidRDefault="0029366D" w:rsidP="00495907">
      <w:r>
        <w:separator/>
      </w:r>
    </w:p>
  </w:footnote>
  <w:footnote w:type="continuationSeparator" w:id="0">
    <w:p w:rsidR="0029366D" w:rsidRDefault="0029366D" w:rsidP="00495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4B3"/>
    <w:rsid w:val="00000488"/>
    <w:rsid w:val="00000AD2"/>
    <w:rsid w:val="0000147F"/>
    <w:rsid w:val="0000177B"/>
    <w:rsid w:val="00002C3E"/>
    <w:rsid w:val="000037B1"/>
    <w:rsid w:val="00005234"/>
    <w:rsid w:val="000071AC"/>
    <w:rsid w:val="00011F83"/>
    <w:rsid w:val="0001287D"/>
    <w:rsid w:val="000136DC"/>
    <w:rsid w:val="00015C35"/>
    <w:rsid w:val="00016C05"/>
    <w:rsid w:val="00030185"/>
    <w:rsid w:val="00032203"/>
    <w:rsid w:val="00033591"/>
    <w:rsid w:val="00033FE0"/>
    <w:rsid w:val="00035F81"/>
    <w:rsid w:val="00036D2A"/>
    <w:rsid w:val="000402A1"/>
    <w:rsid w:val="00046E88"/>
    <w:rsid w:val="000514E6"/>
    <w:rsid w:val="0005253E"/>
    <w:rsid w:val="00057471"/>
    <w:rsid w:val="000607EB"/>
    <w:rsid w:val="000610FB"/>
    <w:rsid w:val="00062657"/>
    <w:rsid w:val="00062C84"/>
    <w:rsid w:val="000649CA"/>
    <w:rsid w:val="00065A48"/>
    <w:rsid w:val="000669F3"/>
    <w:rsid w:val="000704B7"/>
    <w:rsid w:val="00074398"/>
    <w:rsid w:val="00076B62"/>
    <w:rsid w:val="000809F1"/>
    <w:rsid w:val="00080D53"/>
    <w:rsid w:val="000843B1"/>
    <w:rsid w:val="00085BDD"/>
    <w:rsid w:val="000978E0"/>
    <w:rsid w:val="000A1EBA"/>
    <w:rsid w:val="000A3C48"/>
    <w:rsid w:val="000B7A0C"/>
    <w:rsid w:val="000C00F8"/>
    <w:rsid w:val="000C1423"/>
    <w:rsid w:val="000C1C94"/>
    <w:rsid w:val="000C1F2F"/>
    <w:rsid w:val="000C347A"/>
    <w:rsid w:val="000C41F4"/>
    <w:rsid w:val="000C5AB5"/>
    <w:rsid w:val="000D0DBA"/>
    <w:rsid w:val="000D1BB0"/>
    <w:rsid w:val="000D3353"/>
    <w:rsid w:val="000E1319"/>
    <w:rsid w:val="000E2058"/>
    <w:rsid w:val="000E2A0F"/>
    <w:rsid w:val="000E4017"/>
    <w:rsid w:val="000F4F9A"/>
    <w:rsid w:val="000F5671"/>
    <w:rsid w:val="000F5FB3"/>
    <w:rsid w:val="000F78F8"/>
    <w:rsid w:val="0010450A"/>
    <w:rsid w:val="00104D20"/>
    <w:rsid w:val="0010644D"/>
    <w:rsid w:val="00106AAF"/>
    <w:rsid w:val="0011471A"/>
    <w:rsid w:val="00115904"/>
    <w:rsid w:val="00115CE7"/>
    <w:rsid w:val="00116D09"/>
    <w:rsid w:val="001177B3"/>
    <w:rsid w:val="001308C6"/>
    <w:rsid w:val="00130B89"/>
    <w:rsid w:val="00131A97"/>
    <w:rsid w:val="0013222D"/>
    <w:rsid w:val="00133761"/>
    <w:rsid w:val="00135B09"/>
    <w:rsid w:val="0013704E"/>
    <w:rsid w:val="00137293"/>
    <w:rsid w:val="00141704"/>
    <w:rsid w:val="00141E92"/>
    <w:rsid w:val="00145DCC"/>
    <w:rsid w:val="001479B8"/>
    <w:rsid w:val="00153271"/>
    <w:rsid w:val="0015360C"/>
    <w:rsid w:val="00153881"/>
    <w:rsid w:val="00153B07"/>
    <w:rsid w:val="00155855"/>
    <w:rsid w:val="00161759"/>
    <w:rsid w:val="00162095"/>
    <w:rsid w:val="00163A7C"/>
    <w:rsid w:val="00164B6A"/>
    <w:rsid w:val="00166B36"/>
    <w:rsid w:val="0017353C"/>
    <w:rsid w:val="00180EF4"/>
    <w:rsid w:val="00182F5A"/>
    <w:rsid w:val="00186DF7"/>
    <w:rsid w:val="001913C4"/>
    <w:rsid w:val="00194645"/>
    <w:rsid w:val="0019622D"/>
    <w:rsid w:val="00196786"/>
    <w:rsid w:val="001967A3"/>
    <w:rsid w:val="0019712B"/>
    <w:rsid w:val="001A0296"/>
    <w:rsid w:val="001A0882"/>
    <w:rsid w:val="001A098F"/>
    <w:rsid w:val="001A2558"/>
    <w:rsid w:val="001A5E65"/>
    <w:rsid w:val="001A64B3"/>
    <w:rsid w:val="001A6E5B"/>
    <w:rsid w:val="001B0331"/>
    <w:rsid w:val="001B0D86"/>
    <w:rsid w:val="001B1D52"/>
    <w:rsid w:val="001B3A2E"/>
    <w:rsid w:val="001B7D0B"/>
    <w:rsid w:val="001C1D58"/>
    <w:rsid w:val="001C24E5"/>
    <w:rsid w:val="001C3102"/>
    <w:rsid w:val="001C315B"/>
    <w:rsid w:val="001C324E"/>
    <w:rsid w:val="001C6436"/>
    <w:rsid w:val="001D149D"/>
    <w:rsid w:val="001D2441"/>
    <w:rsid w:val="001D34C9"/>
    <w:rsid w:val="001D3696"/>
    <w:rsid w:val="001D4179"/>
    <w:rsid w:val="001D593D"/>
    <w:rsid w:val="001D722D"/>
    <w:rsid w:val="001E36AE"/>
    <w:rsid w:val="001E445C"/>
    <w:rsid w:val="001E5243"/>
    <w:rsid w:val="001E7001"/>
    <w:rsid w:val="001E756B"/>
    <w:rsid w:val="001E7A65"/>
    <w:rsid w:val="001F1DC5"/>
    <w:rsid w:val="001F25E1"/>
    <w:rsid w:val="001F4DC8"/>
    <w:rsid w:val="001F5943"/>
    <w:rsid w:val="001F59AB"/>
    <w:rsid w:val="001F5B94"/>
    <w:rsid w:val="001F6A81"/>
    <w:rsid w:val="001F73E2"/>
    <w:rsid w:val="00210561"/>
    <w:rsid w:val="0021099D"/>
    <w:rsid w:val="00213533"/>
    <w:rsid w:val="002151AF"/>
    <w:rsid w:val="002159F5"/>
    <w:rsid w:val="002177BE"/>
    <w:rsid w:val="00220E89"/>
    <w:rsid w:val="00220FBA"/>
    <w:rsid w:val="00221EE6"/>
    <w:rsid w:val="0022572C"/>
    <w:rsid w:val="002316A6"/>
    <w:rsid w:val="00235538"/>
    <w:rsid w:val="00235761"/>
    <w:rsid w:val="0023757C"/>
    <w:rsid w:val="0024156A"/>
    <w:rsid w:val="0024246B"/>
    <w:rsid w:val="00242747"/>
    <w:rsid w:val="002453F9"/>
    <w:rsid w:val="002466B0"/>
    <w:rsid w:val="002516E7"/>
    <w:rsid w:val="00253444"/>
    <w:rsid w:val="00253491"/>
    <w:rsid w:val="00256DD9"/>
    <w:rsid w:val="00257D4A"/>
    <w:rsid w:val="00261B90"/>
    <w:rsid w:val="002674BD"/>
    <w:rsid w:val="002704B8"/>
    <w:rsid w:val="00270900"/>
    <w:rsid w:val="00273B41"/>
    <w:rsid w:val="00274C9E"/>
    <w:rsid w:val="00277D21"/>
    <w:rsid w:val="00287835"/>
    <w:rsid w:val="002908FF"/>
    <w:rsid w:val="00291497"/>
    <w:rsid w:val="00292941"/>
    <w:rsid w:val="0029313C"/>
    <w:rsid w:val="0029366D"/>
    <w:rsid w:val="00294C3C"/>
    <w:rsid w:val="00295004"/>
    <w:rsid w:val="002A24BA"/>
    <w:rsid w:val="002A4DB7"/>
    <w:rsid w:val="002A6443"/>
    <w:rsid w:val="002B48E8"/>
    <w:rsid w:val="002B7C12"/>
    <w:rsid w:val="002C0932"/>
    <w:rsid w:val="002C17BB"/>
    <w:rsid w:val="002C49BB"/>
    <w:rsid w:val="002C61E7"/>
    <w:rsid w:val="002D1879"/>
    <w:rsid w:val="002D20F4"/>
    <w:rsid w:val="002D2BAB"/>
    <w:rsid w:val="002D3ACE"/>
    <w:rsid w:val="002D4271"/>
    <w:rsid w:val="002E2023"/>
    <w:rsid w:val="002E2054"/>
    <w:rsid w:val="002E3D43"/>
    <w:rsid w:val="002F2991"/>
    <w:rsid w:val="002F628E"/>
    <w:rsid w:val="002F6EB6"/>
    <w:rsid w:val="0030119A"/>
    <w:rsid w:val="00301968"/>
    <w:rsid w:val="0030227D"/>
    <w:rsid w:val="0030327E"/>
    <w:rsid w:val="003078A0"/>
    <w:rsid w:val="00311A39"/>
    <w:rsid w:val="003125FC"/>
    <w:rsid w:val="00314338"/>
    <w:rsid w:val="00315A0C"/>
    <w:rsid w:val="00315BD4"/>
    <w:rsid w:val="00316F99"/>
    <w:rsid w:val="003174E6"/>
    <w:rsid w:val="003176AD"/>
    <w:rsid w:val="00317951"/>
    <w:rsid w:val="00320B70"/>
    <w:rsid w:val="0032144B"/>
    <w:rsid w:val="003231C0"/>
    <w:rsid w:val="00325E01"/>
    <w:rsid w:val="00332408"/>
    <w:rsid w:val="00334B5D"/>
    <w:rsid w:val="00344178"/>
    <w:rsid w:val="00352E55"/>
    <w:rsid w:val="00354C37"/>
    <w:rsid w:val="003556C8"/>
    <w:rsid w:val="003560B0"/>
    <w:rsid w:val="0036060A"/>
    <w:rsid w:val="00360D69"/>
    <w:rsid w:val="003656D4"/>
    <w:rsid w:val="00366DA5"/>
    <w:rsid w:val="00367E94"/>
    <w:rsid w:val="003717D8"/>
    <w:rsid w:val="003736C0"/>
    <w:rsid w:val="00387299"/>
    <w:rsid w:val="003910F4"/>
    <w:rsid w:val="00391FCD"/>
    <w:rsid w:val="00391FD5"/>
    <w:rsid w:val="0039266A"/>
    <w:rsid w:val="0039299D"/>
    <w:rsid w:val="00393924"/>
    <w:rsid w:val="00397DCE"/>
    <w:rsid w:val="003A2276"/>
    <w:rsid w:val="003A27EC"/>
    <w:rsid w:val="003A4223"/>
    <w:rsid w:val="003A5951"/>
    <w:rsid w:val="003A5D3D"/>
    <w:rsid w:val="003A6906"/>
    <w:rsid w:val="003B2112"/>
    <w:rsid w:val="003B5D56"/>
    <w:rsid w:val="003C183A"/>
    <w:rsid w:val="003C3212"/>
    <w:rsid w:val="003D2400"/>
    <w:rsid w:val="003D3DE2"/>
    <w:rsid w:val="003D5932"/>
    <w:rsid w:val="003D7C3C"/>
    <w:rsid w:val="003E4214"/>
    <w:rsid w:val="003E5D22"/>
    <w:rsid w:val="003E7BCC"/>
    <w:rsid w:val="003F3A1F"/>
    <w:rsid w:val="004003F3"/>
    <w:rsid w:val="00404ED8"/>
    <w:rsid w:val="004069D7"/>
    <w:rsid w:val="004102D2"/>
    <w:rsid w:val="0041354B"/>
    <w:rsid w:val="00420EF5"/>
    <w:rsid w:val="00422E6C"/>
    <w:rsid w:val="004230F7"/>
    <w:rsid w:val="00423EF0"/>
    <w:rsid w:val="0042430D"/>
    <w:rsid w:val="0042445E"/>
    <w:rsid w:val="00426730"/>
    <w:rsid w:val="004331CC"/>
    <w:rsid w:val="00435AD8"/>
    <w:rsid w:val="00435D06"/>
    <w:rsid w:val="00436DF2"/>
    <w:rsid w:val="00436E52"/>
    <w:rsid w:val="00440EF4"/>
    <w:rsid w:val="004432EA"/>
    <w:rsid w:val="004437AA"/>
    <w:rsid w:val="00445A6C"/>
    <w:rsid w:val="00450E90"/>
    <w:rsid w:val="004516FD"/>
    <w:rsid w:val="004530AD"/>
    <w:rsid w:val="00456699"/>
    <w:rsid w:val="004566BD"/>
    <w:rsid w:val="00460D67"/>
    <w:rsid w:val="00463A62"/>
    <w:rsid w:val="00464C4D"/>
    <w:rsid w:val="0047101D"/>
    <w:rsid w:val="004748A5"/>
    <w:rsid w:val="004751D3"/>
    <w:rsid w:val="00482DD8"/>
    <w:rsid w:val="00492CE9"/>
    <w:rsid w:val="004947A5"/>
    <w:rsid w:val="004955A1"/>
    <w:rsid w:val="00495907"/>
    <w:rsid w:val="00497AA6"/>
    <w:rsid w:val="004A03A8"/>
    <w:rsid w:val="004A19BF"/>
    <w:rsid w:val="004A4714"/>
    <w:rsid w:val="004A75CF"/>
    <w:rsid w:val="004A7CF9"/>
    <w:rsid w:val="004B0C9D"/>
    <w:rsid w:val="004B101A"/>
    <w:rsid w:val="004B2AB4"/>
    <w:rsid w:val="004B2B37"/>
    <w:rsid w:val="004B3763"/>
    <w:rsid w:val="004B3FE7"/>
    <w:rsid w:val="004B538B"/>
    <w:rsid w:val="004B5511"/>
    <w:rsid w:val="004B5EE0"/>
    <w:rsid w:val="004B6F5E"/>
    <w:rsid w:val="004C3244"/>
    <w:rsid w:val="004D0429"/>
    <w:rsid w:val="004D1287"/>
    <w:rsid w:val="004D139D"/>
    <w:rsid w:val="004D1E65"/>
    <w:rsid w:val="004D4B44"/>
    <w:rsid w:val="004D7AE5"/>
    <w:rsid w:val="004E159A"/>
    <w:rsid w:val="004E27C1"/>
    <w:rsid w:val="004E4775"/>
    <w:rsid w:val="004F0940"/>
    <w:rsid w:val="004F11A5"/>
    <w:rsid w:val="004F35A6"/>
    <w:rsid w:val="004F3FF4"/>
    <w:rsid w:val="004F4205"/>
    <w:rsid w:val="004F4BC2"/>
    <w:rsid w:val="005019DA"/>
    <w:rsid w:val="005035A1"/>
    <w:rsid w:val="0050498D"/>
    <w:rsid w:val="005077FD"/>
    <w:rsid w:val="00507EC3"/>
    <w:rsid w:val="00511338"/>
    <w:rsid w:val="00511EAA"/>
    <w:rsid w:val="00513B2A"/>
    <w:rsid w:val="00514591"/>
    <w:rsid w:val="00515490"/>
    <w:rsid w:val="005208B7"/>
    <w:rsid w:val="00521008"/>
    <w:rsid w:val="00521445"/>
    <w:rsid w:val="005237CD"/>
    <w:rsid w:val="00526013"/>
    <w:rsid w:val="005315FB"/>
    <w:rsid w:val="005401E9"/>
    <w:rsid w:val="005437C5"/>
    <w:rsid w:val="00546AA2"/>
    <w:rsid w:val="00546BA2"/>
    <w:rsid w:val="00546FEB"/>
    <w:rsid w:val="0054797A"/>
    <w:rsid w:val="00551A61"/>
    <w:rsid w:val="00554663"/>
    <w:rsid w:val="00557D96"/>
    <w:rsid w:val="00557FBC"/>
    <w:rsid w:val="00562BB6"/>
    <w:rsid w:val="00564B1B"/>
    <w:rsid w:val="00564ECC"/>
    <w:rsid w:val="0057279E"/>
    <w:rsid w:val="00580B2C"/>
    <w:rsid w:val="00585B38"/>
    <w:rsid w:val="00586632"/>
    <w:rsid w:val="00587D9C"/>
    <w:rsid w:val="005919AB"/>
    <w:rsid w:val="00592726"/>
    <w:rsid w:val="005930A6"/>
    <w:rsid w:val="00595A0E"/>
    <w:rsid w:val="0059717E"/>
    <w:rsid w:val="005A0FAF"/>
    <w:rsid w:val="005A1641"/>
    <w:rsid w:val="005A27BD"/>
    <w:rsid w:val="005A35AF"/>
    <w:rsid w:val="005A39CE"/>
    <w:rsid w:val="005A3CA5"/>
    <w:rsid w:val="005A3E17"/>
    <w:rsid w:val="005A4118"/>
    <w:rsid w:val="005B2FF8"/>
    <w:rsid w:val="005B3BCA"/>
    <w:rsid w:val="005B42FF"/>
    <w:rsid w:val="005B5DF9"/>
    <w:rsid w:val="005C2F2A"/>
    <w:rsid w:val="005C49C2"/>
    <w:rsid w:val="005D595D"/>
    <w:rsid w:val="005D6C1D"/>
    <w:rsid w:val="005D7DAF"/>
    <w:rsid w:val="005E0D4A"/>
    <w:rsid w:val="005E291B"/>
    <w:rsid w:val="005E604A"/>
    <w:rsid w:val="005F2809"/>
    <w:rsid w:val="005F50A9"/>
    <w:rsid w:val="005F5468"/>
    <w:rsid w:val="005F6B46"/>
    <w:rsid w:val="005F7701"/>
    <w:rsid w:val="005F7752"/>
    <w:rsid w:val="005F78D0"/>
    <w:rsid w:val="006047C1"/>
    <w:rsid w:val="00610B9D"/>
    <w:rsid w:val="00611E6D"/>
    <w:rsid w:val="00614C6C"/>
    <w:rsid w:val="0061539E"/>
    <w:rsid w:val="00620577"/>
    <w:rsid w:val="0062328C"/>
    <w:rsid w:val="006233F3"/>
    <w:rsid w:val="00624A70"/>
    <w:rsid w:val="0062756F"/>
    <w:rsid w:val="00627E8B"/>
    <w:rsid w:val="00632230"/>
    <w:rsid w:val="0063663E"/>
    <w:rsid w:val="00636C96"/>
    <w:rsid w:val="00640BAE"/>
    <w:rsid w:val="00642B96"/>
    <w:rsid w:val="00647923"/>
    <w:rsid w:val="00651FD5"/>
    <w:rsid w:val="0065224D"/>
    <w:rsid w:val="00652B32"/>
    <w:rsid w:val="00654CAC"/>
    <w:rsid w:val="006551ED"/>
    <w:rsid w:val="0065537A"/>
    <w:rsid w:val="00655D48"/>
    <w:rsid w:val="0066003F"/>
    <w:rsid w:val="00660383"/>
    <w:rsid w:val="00661D08"/>
    <w:rsid w:val="00662F0E"/>
    <w:rsid w:val="00666235"/>
    <w:rsid w:val="006710B2"/>
    <w:rsid w:val="00672877"/>
    <w:rsid w:val="006729DE"/>
    <w:rsid w:val="00672BF4"/>
    <w:rsid w:val="00675A80"/>
    <w:rsid w:val="00682168"/>
    <w:rsid w:val="006852CB"/>
    <w:rsid w:val="00686E80"/>
    <w:rsid w:val="00691AE8"/>
    <w:rsid w:val="00692571"/>
    <w:rsid w:val="006937E1"/>
    <w:rsid w:val="006A6115"/>
    <w:rsid w:val="006A62CF"/>
    <w:rsid w:val="006B1889"/>
    <w:rsid w:val="006B1F7D"/>
    <w:rsid w:val="006B29D3"/>
    <w:rsid w:val="006B5674"/>
    <w:rsid w:val="006C05D3"/>
    <w:rsid w:val="006C4EA8"/>
    <w:rsid w:val="006C6249"/>
    <w:rsid w:val="006D07B5"/>
    <w:rsid w:val="006D7119"/>
    <w:rsid w:val="006D782E"/>
    <w:rsid w:val="006E1C54"/>
    <w:rsid w:val="006E6C05"/>
    <w:rsid w:val="006E7B28"/>
    <w:rsid w:val="006F0D9E"/>
    <w:rsid w:val="006F5531"/>
    <w:rsid w:val="007020DA"/>
    <w:rsid w:val="00702D1A"/>
    <w:rsid w:val="00706B79"/>
    <w:rsid w:val="00711893"/>
    <w:rsid w:val="0071491C"/>
    <w:rsid w:val="00716577"/>
    <w:rsid w:val="007278F6"/>
    <w:rsid w:val="00727FCE"/>
    <w:rsid w:val="00731BA9"/>
    <w:rsid w:val="007322A3"/>
    <w:rsid w:val="00732713"/>
    <w:rsid w:val="007346C8"/>
    <w:rsid w:val="007455E6"/>
    <w:rsid w:val="00745CE8"/>
    <w:rsid w:val="00752394"/>
    <w:rsid w:val="00753357"/>
    <w:rsid w:val="0075626E"/>
    <w:rsid w:val="00757174"/>
    <w:rsid w:val="007573BF"/>
    <w:rsid w:val="0076044C"/>
    <w:rsid w:val="00760D53"/>
    <w:rsid w:val="00764214"/>
    <w:rsid w:val="007661D0"/>
    <w:rsid w:val="00766EA6"/>
    <w:rsid w:val="00771819"/>
    <w:rsid w:val="00771CA2"/>
    <w:rsid w:val="00772BF5"/>
    <w:rsid w:val="00774D6B"/>
    <w:rsid w:val="00774F40"/>
    <w:rsid w:val="00781086"/>
    <w:rsid w:val="00781648"/>
    <w:rsid w:val="00781852"/>
    <w:rsid w:val="00782E2D"/>
    <w:rsid w:val="00783EFB"/>
    <w:rsid w:val="00786012"/>
    <w:rsid w:val="007A1746"/>
    <w:rsid w:val="007A1965"/>
    <w:rsid w:val="007A615E"/>
    <w:rsid w:val="007B0DE3"/>
    <w:rsid w:val="007B350B"/>
    <w:rsid w:val="007B3EEA"/>
    <w:rsid w:val="007B6084"/>
    <w:rsid w:val="007B6349"/>
    <w:rsid w:val="007B7A58"/>
    <w:rsid w:val="007C32F9"/>
    <w:rsid w:val="007C57FB"/>
    <w:rsid w:val="007C6889"/>
    <w:rsid w:val="007C6CC5"/>
    <w:rsid w:val="007C7201"/>
    <w:rsid w:val="007D44AC"/>
    <w:rsid w:val="007D4B58"/>
    <w:rsid w:val="007E1B84"/>
    <w:rsid w:val="007F1EA5"/>
    <w:rsid w:val="007F377D"/>
    <w:rsid w:val="007F3893"/>
    <w:rsid w:val="007F39AB"/>
    <w:rsid w:val="007F5129"/>
    <w:rsid w:val="007F6A45"/>
    <w:rsid w:val="007F7DF2"/>
    <w:rsid w:val="00807154"/>
    <w:rsid w:val="008076C2"/>
    <w:rsid w:val="00811778"/>
    <w:rsid w:val="008147C9"/>
    <w:rsid w:val="00822F21"/>
    <w:rsid w:val="00823823"/>
    <w:rsid w:val="008266E2"/>
    <w:rsid w:val="00827BF1"/>
    <w:rsid w:val="008315DB"/>
    <w:rsid w:val="00832740"/>
    <w:rsid w:val="0083335A"/>
    <w:rsid w:val="008340EF"/>
    <w:rsid w:val="00835735"/>
    <w:rsid w:val="00835DB4"/>
    <w:rsid w:val="008360E5"/>
    <w:rsid w:val="008366BD"/>
    <w:rsid w:val="00836F2A"/>
    <w:rsid w:val="00840DFB"/>
    <w:rsid w:val="00841847"/>
    <w:rsid w:val="008429DB"/>
    <w:rsid w:val="00850328"/>
    <w:rsid w:val="00850921"/>
    <w:rsid w:val="008562DB"/>
    <w:rsid w:val="00861297"/>
    <w:rsid w:val="008635B2"/>
    <w:rsid w:val="00863768"/>
    <w:rsid w:val="008643B4"/>
    <w:rsid w:val="0087038D"/>
    <w:rsid w:val="008707C3"/>
    <w:rsid w:val="008735B7"/>
    <w:rsid w:val="00873ADD"/>
    <w:rsid w:val="00874DD2"/>
    <w:rsid w:val="00875C7A"/>
    <w:rsid w:val="00877250"/>
    <w:rsid w:val="0087741B"/>
    <w:rsid w:val="0088491F"/>
    <w:rsid w:val="00885994"/>
    <w:rsid w:val="00890C75"/>
    <w:rsid w:val="00893BF6"/>
    <w:rsid w:val="008941A2"/>
    <w:rsid w:val="008A2461"/>
    <w:rsid w:val="008A55B5"/>
    <w:rsid w:val="008A5E0C"/>
    <w:rsid w:val="008A713C"/>
    <w:rsid w:val="008B187C"/>
    <w:rsid w:val="008B1936"/>
    <w:rsid w:val="008B1A2A"/>
    <w:rsid w:val="008B1A9B"/>
    <w:rsid w:val="008B2E2B"/>
    <w:rsid w:val="008B4177"/>
    <w:rsid w:val="008B5B28"/>
    <w:rsid w:val="008B7771"/>
    <w:rsid w:val="008C038F"/>
    <w:rsid w:val="008C3731"/>
    <w:rsid w:val="008D3D56"/>
    <w:rsid w:val="008D7882"/>
    <w:rsid w:val="008E0583"/>
    <w:rsid w:val="008E5088"/>
    <w:rsid w:val="008E50C9"/>
    <w:rsid w:val="008E744D"/>
    <w:rsid w:val="008E787C"/>
    <w:rsid w:val="008F232B"/>
    <w:rsid w:val="008F2B10"/>
    <w:rsid w:val="008F667A"/>
    <w:rsid w:val="00900295"/>
    <w:rsid w:val="009017BC"/>
    <w:rsid w:val="009021F0"/>
    <w:rsid w:val="00902214"/>
    <w:rsid w:val="00903544"/>
    <w:rsid w:val="0090382D"/>
    <w:rsid w:val="0091215B"/>
    <w:rsid w:val="009152B9"/>
    <w:rsid w:val="009156E4"/>
    <w:rsid w:val="009168F4"/>
    <w:rsid w:val="0092002C"/>
    <w:rsid w:val="0092017C"/>
    <w:rsid w:val="00920EE2"/>
    <w:rsid w:val="00921D3A"/>
    <w:rsid w:val="00926C80"/>
    <w:rsid w:val="00926E04"/>
    <w:rsid w:val="00927E8E"/>
    <w:rsid w:val="00932FF9"/>
    <w:rsid w:val="00936C50"/>
    <w:rsid w:val="00944446"/>
    <w:rsid w:val="00951A5F"/>
    <w:rsid w:val="00952430"/>
    <w:rsid w:val="00953A4B"/>
    <w:rsid w:val="00953E51"/>
    <w:rsid w:val="00955594"/>
    <w:rsid w:val="00965924"/>
    <w:rsid w:val="009660E5"/>
    <w:rsid w:val="00971354"/>
    <w:rsid w:val="0097230C"/>
    <w:rsid w:val="00972A28"/>
    <w:rsid w:val="009746C2"/>
    <w:rsid w:val="0097524E"/>
    <w:rsid w:val="00975C75"/>
    <w:rsid w:val="00976129"/>
    <w:rsid w:val="00977C11"/>
    <w:rsid w:val="009853EA"/>
    <w:rsid w:val="00985D82"/>
    <w:rsid w:val="009878C8"/>
    <w:rsid w:val="00987BEB"/>
    <w:rsid w:val="0099204A"/>
    <w:rsid w:val="00993972"/>
    <w:rsid w:val="00994E25"/>
    <w:rsid w:val="009957F3"/>
    <w:rsid w:val="009A1297"/>
    <w:rsid w:val="009A1732"/>
    <w:rsid w:val="009A4A80"/>
    <w:rsid w:val="009A6219"/>
    <w:rsid w:val="009B42AD"/>
    <w:rsid w:val="009C3E50"/>
    <w:rsid w:val="009C4388"/>
    <w:rsid w:val="009C596C"/>
    <w:rsid w:val="009C6F8F"/>
    <w:rsid w:val="009D68C4"/>
    <w:rsid w:val="009E4D30"/>
    <w:rsid w:val="009E56C1"/>
    <w:rsid w:val="009E7249"/>
    <w:rsid w:val="009F21E2"/>
    <w:rsid w:val="009F239F"/>
    <w:rsid w:val="009F29DC"/>
    <w:rsid w:val="009F62B4"/>
    <w:rsid w:val="009F7B9A"/>
    <w:rsid w:val="00A00529"/>
    <w:rsid w:val="00A0081E"/>
    <w:rsid w:val="00A01A7A"/>
    <w:rsid w:val="00A04BBA"/>
    <w:rsid w:val="00A06359"/>
    <w:rsid w:val="00A07FCA"/>
    <w:rsid w:val="00A11454"/>
    <w:rsid w:val="00A122E4"/>
    <w:rsid w:val="00A12CA2"/>
    <w:rsid w:val="00A13DF6"/>
    <w:rsid w:val="00A163D8"/>
    <w:rsid w:val="00A2235E"/>
    <w:rsid w:val="00A23624"/>
    <w:rsid w:val="00A236B7"/>
    <w:rsid w:val="00A24258"/>
    <w:rsid w:val="00A24D41"/>
    <w:rsid w:val="00A25DB8"/>
    <w:rsid w:val="00A27DD3"/>
    <w:rsid w:val="00A30BD5"/>
    <w:rsid w:val="00A31610"/>
    <w:rsid w:val="00A34DCE"/>
    <w:rsid w:val="00A34FE1"/>
    <w:rsid w:val="00A355FB"/>
    <w:rsid w:val="00A37AFF"/>
    <w:rsid w:val="00A37E10"/>
    <w:rsid w:val="00A43A66"/>
    <w:rsid w:val="00A456EE"/>
    <w:rsid w:val="00A5068D"/>
    <w:rsid w:val="00A51BC6"/>
    <w:rsid w:val="00A5241D"/>
    <w:rsid w:val="00A53376"/>
    <w:rsid w:val="00A552CD"/>
    <w:rsid w:val="00A55D43"/>
    <w:rsid w:val="00A57793"/>
    <w:rsid w:val="00A60E58"/>
    <w:rsid w:val="00A632BF"/>
    <w:rsid w:val="00A65716"/>
    <w:rsid w:val="00A66DAB"/>
    <w:rsid w:val="00A74296"/>
    <w:rsid w:val="00A77FD0"/>
    <w:rsid w:val="00A82852"/>
    <w:rsid w:val="00A83D33"/>
    <w:rsid w:val="00A8480E"/>
    <w:rsid w:val="00A909FB"/>
    <w:rsid w:val="00A93621"/>
    <w:rsid w:val="00A9412E"/>
    <w:rsid w:val="00A964E9"/>
    <w:rsid w:val="00AA011F"/>
    <w:rsid w:val="00AA41CE"/>
    <w:rsid w:val="00AA5FF1"/>
    <w:rsid w:val="00AB0CC2"/>
    <w:rsid w:val="00AB3F06"/>
    <w:rsid w:val="00AB59F4"/>
    <w:rsid w:val="00AB6A85"/>
    <w:rsid w:val="00AC01C8"/>
    <w:rsid w:val="00AC0916"/>
    <w:rsid w:val="00AC1008"/>
    <w:rsid w:val="00AC25FA"/>
    <w:rsid w:val="00AC4D31"/>
    <w:rsid w:val="00AC5077"/>
    <w:rsid w:val="00AC621B"/>
    <w:rsid w:val="00AC6A15"/>
    <w:rsid w:val="00AC749C"/>
    <w:rsid w:val="00AD05A1"/>
    <w:rsid w:val="00AD2C9C"/>
    <w:rsid w:val="00AD414B"/>
    <w:rsid w:val="00AD7E2E"/>
    <w:rsid w:val="00AE2AE6"/>
    <w:rsid w:val="00AE2C57"/>
    <w:rsid w:val="00AE5A54"/>
    <w:rsid w:val="00AE632B"/>
    <w:rsid w:val="00AE7886"/>
    <w:rsid w:val="00AE7B1B"/>
    <w:rsid w:val="00AF0298"/>
    <w:rsid w:val="00AF06C0"/>
    <w:rsid w:val="00AF2ED4"/>
    <w:rsid w:val="00AF559B"/>
    <w:rsid w:val="00AF5621"/>
    <w:rsid w:val="00B01E55"/>
    <w:rsid w:val="00B02A2B"/>
    <w:rsid w:val="00B11B00"/>
    <w:rsid w:val="00B1428E"/>
    <w:rsid w:val="00B1532B"/>
    <w:rsid w:val="00B162E3"/>
    <w:rsid w:val="00B16BCE"/>
    <w:rsid w:val="00B211FE"/>
    <w:rsid w:val="00B224B0"/>
    <w:rsid w:val="00B22A54"/>
    <w:rsid w:val="00B22D59"/>
    <w:rsid w:val="00B233BF"/>
    <w:rsid w:val="00B24031"/>
    <w:rsid w:val="00B25D80"/>
    <w:rsid w:val="00B34C82"/>
    <w:rsid w:val="00B373D9"/>
    <w:rsid w:val="00B37BFB"/>
    <w:rsid w:val="00B40E29"/>
    <w:rsid w:val="00B43304"/>
    <w:rsid w:val="00B434F4"/>
    <w:rsid w:val="00B45C79"/>
    <w:rsid w:val="00B5165C"/>
    <w:rsid w:val="00B539C9"/>
    <w:rsid w:val="00B61C91"/>
    <w:rsid w:val="00B620A2"/>
    <w:rsid w:val="00B62BFD"/>
    <w:rsid w:val="00B71E91"/>
    <w:rsid w:val="00B7215C"/>
    <w:rsid w:val="00B90108"/>
    <w:rsid w:val="00B92B10"/>
    <w:rsid w:val="00B92D5F"/>
    <w:rsid w:val="00B92F1A"/>
    <w:rsid w:val="00B93A6A"/>
    <w:rsid w:val="00B95302"/>
    <w:rsid w:val="00B96054"/>
    <w:rsid w:val="00B9697F"/>
    <w:rsid w:val="00BA31DD"/>
    <w:rsid w:val="00BA6298"/>
    <w:rsid w:val="00BA68DC"/>
    <w:rsid w:val="00BB60DE"/>
    <w:rsid w:val="00BB6B98"/>
    <w:rsid w:val="00BC245D"/>
    <w:rsid w:val="00BC399C"/>
    <w:rsid w:val="00BC521D"/>
    <w:rsid w:val="00BC575B"/>
    <w:rsid w:val="00BC6098"/>
    <w:rsid w:val="00BD477F"/>
    <w:rsid w:val="00BD5190"/>
    <w:rsid w:val="00BE0996"/>
    <w:rsid w:val="00BE38CF"/>
    <w:rsid w:val="00BE3F93"/>
    <w:rsid w:val="00BE6B1F"/>
    <w:rsid w:val="00BE6F02"/>
    <w:rsid w:val="00BF31CA"/>
    <w:rsid w:val="00BF6F80"/>
    <w:rsid w:val="00C01482"/>
    <w:rsid w:val="00C02C34"/>
    <w:rsid w:val="00C11696"/>
    <w:rsid w:val="00C120B0"/>
    <w:rsid w:val="00C121FE"/>
    <w:rsid w:val="00C14CB7"/>
    <w:rsid w:val="00C15BA2"/>
    <w:rsid w:val="00C164CC"/>
    <w:rsid w:val="00C17712"/>
    <w:rsid w:val="00C225B9"/>
    <w:rsid w:val="00C253BC"/>
    <w:rsid w:val="00C264E4"/>
    <w:rsid w:val="00C274AF"/>
    <w:rsid w:val="00C301C1"/>
    <w:rsid w:val="00C32D4D"/>
    <w:rsid w:val="00C35FF7"/>
    <w:rsid w:val="00C36BF4"/>
    <w:rsid w:val="00C37327"/>
    <w:rsid w:val="00C44236"/>
    <w:rsid w:val="00C44284"/>
    <w:rsid w:val="00C45717"/>
    <w:rsid w:val="00C4586C"/>
    <w:rsid w:val="00C5057D"/>
    <w:rsid w:val="00C52AF4"/>
    <w:rsid w:val="00C53BBA"/>
    <w:rsid w:val="00C53F86"/>
    <w:rsid w:val="00C55B74"/>
    <w:rsid w:val="00C568EF"/>
    <w:rsid w:val="00C60DB5"/>
    <w:rsid w:val="00C619BC"/>
    <w:rsid w:val="00C6324A"/>
    <w:rsid w:val="00C66054"/>
    <w:rsid w:val="00C704BD"/>
    <w:rsid w:val="00C747DB"/>
    <w:rsid w:val="00C76ADF"/>
    <w:rsid w:val="00C774C0"/>
    <w:rsid w:val="00C7758F"/>
    <w:rsid w:val="00C77ADE"/>
    <w:rsid w:val="00C81ABB"/>
    <w:rsid w:val="00C826DD"/>
    <w:rsid w:val="00C828DC"/>
    <w:rsid w:val="00C86CC8"/>
    <w:rsid w:val="00C91366"/>
    <w:rsid w:val="00C96C76"/>
    <w:rsid w:val="00CA1F99"/>
    <w:rsid w:val="00CA2B4E"/>
    <w:rsid w:val="00CA3AA9"/>
    <w:rsid w:val="00CA58FF"/>
    <w:rsid w:val="00CA600D"/>
    <w:rsid w:val="00CB251D"/>
    <w:rsid w:val="00CB56DC"/>
    <w:rsid w:val="00CB665B"/>
    <w:rsid w:val="00CB71DF"/>
    <w:rsid w:val="00CB7E9F"/>
    <w:rsid w:val="00CC17A8"/>
    <w:rsid w:val="00CC258C"/>
    <w:rsid w:val="00CC4619"/>
    <w:rsid w:val="00CC58D5"/>
    <w:rsid w:val="00CD24AE"/>
    <w:rsid w:val="00CE0159"/>
    <w:rsid w:val="00CE0303"/>
    <w:rsid w:val="00CE4B8F"/>
    <w:rsid w:val="00CE546B"/>
    <w:rsid w:val="00CF09A5"/>
    <w:rsid w:val="00CF4AB2"/>
    <w:rsid w:val="00CF5C62"/>
    <w:rsid w:val="00CF659D"/>
    <w:rsid w:val="00CF75A8"/>
    <w:rsid w:val="00D030B4"/>
    <w:rsid w:val="00D037FD"/>
    <w:rsid w:val="00D120F6"/>
    <w:rsid w:val="00D13945"/>
    <w:rsid w:val="00D147E1"/>
    <w:rsid w:val="00D15DF8"/>
    <w:rsid w:val="00D16342"/>
    <w:rsid w:val="00D1732F"/>
    <w:rsid w:val="00D22160"/>
    <w:rsid w:val="00D23552"/>
    <w:rsid w:val="00D23CCB"/>
    <w:rsid w:val="00D2409C"/>
    <w:rsid w:val="00D24F9A"/>
    <w:rsid w:val="00D315FB"/>
    <w:rsid w:val="00D32123"/>
    <w:rsid w:val="00D3240C"/>
    <w:rsid w:val="00D35E4A"/>
    <w:rsid w:val="00D37F9C"/>
    <w:rsid w:val="00D4567C"/>
    <w:rsid w:val="00D468BC"/>
    <w:rsid w:val="00D517B7"/>
    <w:rsid w:val="00D579B2"/>
    <w:rsid w:val="00D60186"/>
    <w:rsid w:val="00D604AF"/>
    <w:rsid w:val="00D62C8F"/>
    <w:rsid w:val="00D65AB4"/>
    <w:rsid w:val="00D7084B"/>
    <w:rsid w:val="00D71568"/>
    <w:rsid w:val="00D73ED0"/>
    <w:rsid w:val="00D7511C"/>
    <w:rsid w:val="00D76805"/>
    <w:rsid w:val="00D768C7"/>
    <w:rsid w:val="00D77A13"/>
    <w:rsid w:val="00D83424"/>
    <w:rsid w:val="00D85997"/>
    <w:rsid w:val="00D86100"/>
    <w:rsid w:val="00D87ABF"/>
    <w:rsid w:val="00D87F8D"/>
    <w:rsid w:val="00D90825"/>
    <w:rsid w:val="00D93792"/>
    <w:rsid w:val="00DA00D4"/>
    <w:rsid w:val="00DA07EA"/>
    <w:rsid w:val="00DA1BD5"/>
    <w:rsid w:val="00DA288E"/>
    <w:rsid w:val="00DA3455"/>
    <w:rsid w:val="00DA61E3"/>
    <w:rsid w:val="00DA7B3D"/>
    <w:rsid w:val="00DB0381"/>
    <w:rsid w:val="00DB39AC"/>
    <w:rsid w:val="00DB5C8A"/>
    <w:rsid w:val="00DB7FFC"/>
    <w:rsid w:val="00DC1297"/>
    <w:rsid w:val="00DC2191"/>
    <w:rsid w:val="00DC7B7C"/>
    <w:rsid w:val="00DD0283"/>
    <w:rsid w:val="00DD400C"/>
    <w:rsid w:val="00DE1094"/>
    <w:rsid w:val="00DE488B"/>
    <w:rsid w:val="00DE574F"/>
    <w:rsid w:val="00DE79DE"/>
    <w:rsid w:val="00DF1E45"/>
    <w:rsid w:val="00DF2B25"/>
    <w:rsid w:val="00DF60BD"/>
    <w:rsid w:val="00DF671D"/>
    <w:rsid w:val="00DF7E04"/>
    <w:rsid w:val="00E03E10"/>
    <w:rsid w:val="00E04C18"/>
    <w:rsid w:val="00E04D9D"/>
    <w:rsid w:val="00E068E3"/>
    <w:rsid w:val="00E105DF"/>
    <w:rsid w:val="00E124AB"/>
    <w:rsid w:val="00E17C14"/>
    <w:rsid w:val="00E207CE"/>
    <w:rsid w:val="00E24C2E"/>
    <w:rsid w:val="00E27E72"/>
    <w:rsid w:val="00E31415"/>
    <w:rsid w:val="00E33295"/>
    <w:rsid w:val="00E341CB"/>
    <w:rsid w:val="00E359BD"/>
    <w:rsid w:val="00E3636E"/>
    <w:rsid w:val="00E4261A"/>
    <w:rsid w:val="00E432A9"/>
    <w:rsid w:val="00E437A4"/>
    <w:rsid w:val="00E44322"/>
    <w:rsid w:val="00E50781"/>
    <w:rsid w:val="00E5143B"/>
    <w:rsid w:val="00E5162D"/>
    <w:rsid w:val="00E5333B"/>
    <w:rsid w:val="00E543A0"/>
    <w:rsid w:val="00E55936"/>
    <w:rsid w:val="00E56CCC"/>
    <w:rsid w:val="00E57D73"/>
    <w:rsid w:val="00E60FC1"/>
    <w:rsid w:val="00E61277"/>
    <w:rsid w:val="00E64CD5"/>
    <w:rsid w:val="00E662A7"/>
    <w:rsid w:val="00E722FA"/>
    <w:rsid w:val="00E72307"/>
    <w:rsid w:val="00E75E65"/>
    <w:rsid w:val="00E7773D"/>
    <w:rsid w:val="00E81CF5"/>
    <w:rsid w:val="00E829F2"/>
    <w:rsid w:val="00E92056"/>
    <w:rsid w:val="00E94BA3"/>
    <w:rsid w:val="00E97D9A"/>
    <w:rsid w:val="00EB02F7"/>
    <w:rsid w:val="00EB13F1"/>
    <w:rsid w:val="00EB531C"/>
    <w:rsid w:val="00EB5BA9"/>
    <w:rsid w:val="00EB7587"/>
    <w:rsid w:val="00EB781B"/>
    <w:rsid w:val="00EC1CC4"/>
    <w:rsid w:val="00EC1D66"/>
    <w:rsid w:val="00EC26EB"/>
    <w:rsid w:val="00EC4BDA"/>
    <w:rsid w:val="00EC64EB"/>
    <w:rsid w:val="00EC6BDF"/>
    <w:rsid w:val="00ED09F8"/>
    <w:rsid w:val="00ED5AC9"/>
    <w:rsid w:val="00ED6086"/>
    <w:rsid w:val="00ED661A"/>
    <w:rsid w:val="00EE08C3"/>
    <w:rsid w:val="00EE36B4"/>
    <w:rsid w:val="00EE37D6"/>
    <w:rsid w:val="00EE5BD3"/>
    <w:rsid w:val="00EF1459"/>
    <w:rsid w:val="00F01449"/>
    <w:rsid w:val="00F06D5D"/>
    <w:rsid w:val="00F071E3"/>
    <w:rsid w:val="00F07E36"/>
    <w:rsid w:val="00F10F11"/>
    <w:rsid w:val="00F11A46"/>
    <w:rsid w:val="00F167AD"/>
    <w:rsid w:val="00F21EF1"/>
    <w:rsid w:val="00F2493C"/>
    <w:rsid w:val="00F255FF"/>
    <w:rsid w:val="00F27860"/>
    <w:rsid w:val="00F30784"/>
    <w:rsid w:val="00F350B7"/>
    <w:rsid w:val="00F35D39"/>
    <w:rsid w:val="00F372BD"/>
    <w:rsid w:val="00F41EEA"/>
    <w:rsid w:val="00F42EA3"/>
    <w:rsid w:val="00F44B34"/>
    <w:rsid w:val="00F44E7D"/>
    <w:rsid w:val="00F45035"/>
    <w:rsid w:val="00F47DA0"/>
    <w:rsid w:val="00F51A2D"/>
    <w:rsid w:val="00F5414A"/>
    <w:rsid w:val="00F54975"/>
    <w:rsid w:val="00F558BA"/>
    <w:rsid w:val="00F61895"/>
    <w:rsid w:val="00F702D9"/>
    <w:rsid w:val="00F70B57"/>
    <w:rsid w:val="00F71CEB"/>
    <w:rsid w:val="00F73E5D"/>
    <w:rsid w:val="00F73F10"/>
    <w:rsid w:val="00F77C54"/>
    <w:rsid w:val="00F80BA8"/>
    <w:rsid w:val="00F83504"/>
    <w:rsid w:val="00F838AD"/>
    <w:rsid w:val="00F87A92"/>
    <w:rsid w:val="00F90A92"/>
    <w:rsid w:val="00F922DA"/>
    <w:rsid w:val="00F92D41"/>
    <w:rsid w:val="00F958BA"/>
    <w:rsid w:val="00F95E6B"/>
    <w:rsid w:val="00FA1A10"/>
    <w:rsid w:val="00FA344B"/>
    <w:rsid w:val="00FB4F11"/>
    <w:rsid w:val="00FB5ED2"/>
    <w:rsid w:val="00FC1633"/>
    <w:rsid w:val="00FC3A52"/>
    <w:rsid w:val="00FC49DE"/>
    <w:rsid w:val="00FC6F53"/>
    <w:rsid w:val="00FD1D88"/>
    <w:rsid w:val="00FD2CA0"/>
    <w:rsid w:val="00FD3205"/>
    <w:rsid w:val="00FD4A39"/>
    <w:rsid w:val="00FD71B9"/>
    <w:rsid w:val="00FD7A6C"/>
    <w:rsid w:val="00FE074B"/>
    <w:rsid w:val="00FE0EBC"/>
    <w:rsid w:val="00FE2263"/>
    <w:rsid w:val="00FE2C05"/>
    <w:rsid w:val="00FF30C2"/>
    <w:rsid w:val="00FF5553"/>
    <w:rsid w:val="00FF6D6A"/>
    <w:rsid w:val="5B1B0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0">
    <w:name w:val="页眉 Char"/>
    <w:basedOn w:val="a0"/>
    <w:link w:val="a5"/>
    <w:uiPriority w:val="99"/>
    <w:semiHidden/>
    <w:rPr>
      <w:sz w:val="18"/>
      <w:szCs w:val="18"/>
    </w:rPr>
  </w:style>
  <w:style w:type="character" w:customStyle="1" w:styleId="Char">
    <w:name w:val="页脚 Char"/>
    <w:basedOn w:val="a0"/>
    <w:link w:val="a4"/>
    <w:uiPriority w:val="99"/>
    <w:semiHidden/>
    <w:rPr>
      <w:sz w:val="18"/>
      <w:szCs w:val="18"/>
    </w:rPr>
  </w:style>
  <w:style w:type="paragraph" w:styleId="a7">
    <w:name w:val="Balloon Text"/>
    <w:basedOn w:val="a"/>
    <w:link w:val="Char1"/>
    <w:uiPriority w:val="99"/>
    <w:semiHidden/>
    <w:unhideWhenUsed/>
    <w:rsid w:val="004437AA"/>
    <w:rPr>
      <w:sz w:val="18"/>
      <w:szCs w:val="18"/>
    </w:rPr>
  </w:style>
  <w:style w:type="character" w:customStyle="1" w:styleId="Char1">
    <w:name w:val="批注框文本 Char"/>
    <w:basedOn w:val="a0"/>
    <w:link w:val="a7"/>
    <w:uiPriority w:val="99"/>
    <w:semiHidden/>
    <w:rsid w:val="004437AA"/>
    <w:rPr>
      <w:kern w:val="2"/>
      <w:sz w:val="18"/>
      <w:szCs w:val="18"/>
    </w:rPr>
  </w:style>
  <w:style w:type="paragraph" w:customStyle="1" w:styleId="TableParagraph">
    <w:name w:val="Table Paragraph"/>
    <w:basedOn w:val="a"/>
    <w:uiPriority w:val="1"/>
    <w:qFormat/>
    <w:rsid w:val="005B3BCA"/>
    <w:pPr>
      <w:autoSpaceDE w:val="0"/>
      <w:autoSpaceDN w:val="0"/>
      <w:adjustRightInd w:val="0"/>
      <w:spacing w:line="360" w:lineRule="auto"/>
      <w:jc w:val="left"/>
    </w:pPr>
    <w:rPr>
      <w:rFonts w:ascii="Times New Roman" w:eastAsia="宋体" w:hAnsi="Times New Roman" w:cs="Times New Roman"/>
      <w:kern w:val="0"/>
      <w:sz w:val="24"/>
      <w:szCs w:val="24"/>
    </w:rPr>
  </w:style>
  <w:style w:type="character" w:customStyle="1" w:styleId="apple-converted-space">
    <w:name w:val="apple-converted-space"/>
    <w:basedOn w:val="a0"/>
    <w:rsid w:val="00EB78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0">
    <w:name w:val="页眉 Char"/>
    <w:basedOn w:val="a0"/>
    <w:link w:val="a5"/>
    <w:uiPriority w:val="99"/>
    <w:semiHidden/>
    <w:rPr>
      <w:sz w:val="18"/>
      <w:szCs w:val="18"/>
    </w:rPr>
  </w:style>
  <w:style w:type="character" w:customStyle="1" w:styleId="Char">
    <w:name w:val="页脚 Char"/>
    <w:basedOn w:val="a0"/>
    <w:link w:val="a4"/>
    <w:uiPriority w:val="99"/>
    <w:semiHidden/>
    <w:rPr>
      <w:sz w:val="18"/>
      <w:szCs w:val="18"/>
    </w:rPr>
  </w:style>
  <w:style w:type="paragraph" w:styleId="a7">
    <w:name w:val="Balloon Text"/>
    <w:basedOn w:val="a"/>
    <w:link w:val="Char1"/>
    <w:uiPriority w:val="99"/>
    <w:semiHidden/>
    <w:unhideWhenUsed/>
    <w:rsid w:val="004437AA"/>
    <w:rPr>
      <w:sz w:val="18"/>
      <w:szCs w:val="18"/>
    </w:rPr>
  </w:style>
  <w:style w:type="character" w:customStyle="1" w:styleId="Char1">
    <w:name w:val="批注框文本 Char"/>
    <w:basedOn w:val="a0"/>
    <w:link w:val="a7"/>
    <w:uiPriority w:val="99"/>
    <w:semiHidden/>
    <w:rsid w:val="004437AA"/>
    <w:rPr>
      <w:kern w:val="2"/>
      <w:sz w:val="18"/>
      <w:szCs w:val="18"/>
    </w:rPr>
  </w:style>
  <w:style w:type="paragraph" w:customStyle="1" w:styleId="TableParagraph">
    <w:name w:val="Table Paragraph"/>
    <w:basedOn w:val="a"/>
    <w:uiPriority w:val="1"/>
    <w:qFormat/>
    <w:rsid w:val="005B3BCA"/>
    <w:pPr>
      <w:autoSpaceDE w:val="0"/>
      <w:autoSpaceDN w:val="0"/>
      <w:adjustRightInd w:val="0"/>
      <w:spacing w:line="360" w:lineRule="auto"/>
      <w:jc w:val="left"/>
    </w:pPr>
    <w:rPr>
      <w:rFonts w:ascii="Times New Roman" w:eastAsia="宋体" w:hAnsi="Times New Roman" w:cs="Times New Roman"/>
      <w:kern w:val="0"/>
      <w:sz w:val="24"/>
      <w:szCs w:val="24"/>
    </w:rPr>
  </w:style>
  <w:style w:type="character" w:customStyle="1" w:styleId="apple-converted-space">
    <w:name w:val="apple-converted-space"/>
    <w:basedOn w:val="a0"/>
    <w:rsid w:val="00EB7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41214">
      <w:bodyDiv w:val="1"/>
      <w:marLeft w:val="0"/>
      <w:marRight w:val="0"/>
      <w:marTop w:val="0"/>
      <w:marBottom w:val="0"/>
      <w:divBdr>
        <w:top w:val="none" w:sz="0" w:space="0" w:color="auto"/>
        <w:left w:val="none" w:sz="0" w:space="0" w:color="auto"/>
        <w:bottom w:val="none" w:sz="0" w:space="0" w:color="auto"/>
        <w:right w:val="none" w:sz="0" w:space="0" w:color="auto"/>
      </w:divBdr>
    </w:div>
    <w:div w:id="274944004">
      <w:bodyDiv w:val="1"/>
      <w:marLeft w:val="0"/>
      <w:marRight w:val="0"/>
      <w:marTop w:val="0"/>
      <w:marBottom w:val="0"/>
      <w:divBdr>
        <w:top w:val="none" w:sz="0" w:space="0" w:color="auto"/>
        <w:left w:val="none" w:sz="0" w:space="0" w:color="auto"/>
        <w:bottom w:val="none" w:sz="0" w:space="0" w:color="auto"/>
        <w:right w:val="none" w:sz="0" w:space="0" w:color="auto"/>
      </w:divBdr>
    </w:div>
    <w:div w:id="570315649">
      <w:bodyDiv w:val="1"/>
      <w:marLeft w:val="0"/>
      <w:marRight w:val="0"/>
      <w:marTop w:val="0"/>
      <w:marBottom w:val="0"/>
      <w:divBdr>
        <w:top w:val="none" w:sz="0" w:space="0" w:color="auto"/>
        <w:left w:val="none" w:sz="0" w:space="0" w:color="auto"/>
        <w:bottom w:val="none" w:sz="0" w:space="0" w:color="auto"/>
        <w:right w:val="none" w:sz="0" w:space="0" w:color="auto"/>
      </w:divBdr>
    </w:div>
    <w:div w:id="903375498">
      <w:bodyDiv w:val="1"/>
      <w:marLeft w:val="0"/>
      <w:marRight w:val="0"/>
      <w:marTop w:val="0"/>
      <w:marBottom w:val="0"/>
      <w:divBdr>
        <w:top w:val="none" w:sz="0" w:space="0" w:color="auto"/>
        <w:left w:val="none" w:sz="0" w:space="0" w:color="auto"/>
        <w:bottom w:val="none" w:sz="0" w:space="0" w:color="auto"/>
        <w:right w:val="none" w:sz="0" w:space="0" w:color="auto"/>
      </w:divBdr>
    </w:div>
    <w:div w:id="1064528736">
      <w:bodyDiv w:val="1"/>
      <w:marLeft w:val="0"/>
      <w:marRight w:val="0"/>
      <w:marTop w:val="0"/>
      <w:marBottom w:val="0"/>
      <w:divBdr>
        <w:top w:val="none" w:sz="0" w:space="0" w:color="auto"/>
        <w:left w:val="none" w:sz="0" w:space="0" w:color="auto"/>
        <w:bottom w:val="none" w:sz="0" w:space="0" w:color="auto"/>
        <w:right w:val="none" w:sz="0" w:space="0" w:color="auto"/>
      </w:divBdr>
    </w:div>
    <w:div w:id="1387951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D44BB3-A2BA-4602-B884-F18A8621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索园园</dc:creator>
  <cp:lastModifiedBy>Dennis</cp:lastModifiedBy>
  <cp:revision>104</cp:revision>
  <dcterms:created xsi:type="dcterms:W3CDTF">2016-01-15T02:45:00Z</dcterms:created>
  <dcterms:modified xsi:type="dcterms:W3CDTF">2016-05-09T09:14:00Z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